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姚文华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13769165981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13518733408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7-15 优品京城北京天津双飞6日游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GS7838 昆明→天津 19:55-0055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2025-07-20 GS7859 天津→昆明 13:30-18:2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1、蒋志晴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532329198412200027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532329198501272719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3、罗怡辰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532329201309080033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4、蒋怡翔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532329201802010012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5、蒋文华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532329195408040071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532329195502160029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姚文华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21:31:35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