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玉溪携程周静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7-6 毕业季 北京+环球6天（假日+希尔顿）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2025-07-06 KN5590 昆明→北京 11:55-16:40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2025-07-11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1、张金仙</w:t>
            </w:r>
          </w:p>
        </w:tc>
        <w:tc>
          <w:tcPr>
            <w:tcW w:w="2310" w:type="dxa"/>
            <w:vAlign w:val="center"/>
            <w:gridSpan w:val="2"/>
          </w:tcPr>
          <w:p>
            <w:pPr/>
            <w:r>
              <w:rPr>
                <w:lang w:val="zh-CN"/>
                <w:rFonts w:ascii="Times New Roman" w:hAnsi="Times New Roman" w:cs="Times New Roman"/>
                <w:sz w:val="20"/>
                <w:szCs w:val="20"/>
                <w:color w:val="000000"/>
              </w:rPr>
              <w:t>532425198110281829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2、李沁阳</w:t>
            </w:r>
          </w:p>
        </w:tc>
        <w:tc>
          <w:tcPr>
            <w:tcW w:w="2310" w:type="dxa"/>
            <w:vAlign w:val="center"/>
            <w:gridSpan w:val="2"/>
          </w:tcPr>
          <w:p>
            <w:pPr/>
            <w:r>
              <w:rPr>
                <w:lang w:val="zh-CN"/>
                <w:rFonts w:ascii="Times New Roman" w:hAnsi="Times New Roman" w:cs="Times New Roman"/>
                <w:sz w:val="20"/>
                <w:szCs w:val="20"/>
                <w:color w:val="000000"/>
              </w:rPr>
              <w:t>530402201803121818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3、李乐阳</w:t>
            </w:r>
          </w:p>
        </w:tc>
        <w:tc>
          <w:tcPr>
            <w:tcW w:w="2310" w:type="dxa"/>
            <w:vAlign w:val="center"/>
            <w:gridSpan w:val="2"/>
          </w:tcPr>
          <w:p>
            <w:pPr/>
            <w:r>
              <w:rPr>
                <w:lang w:val="zh-CN"/>
                <w:rFonts w:ascii="Times New Roman" w:hAnsi="Times New Roman" w:cs="Times New Roman"/>
                <w:sz w:val="20"/>
                <w:szCs w:val="20"/>
                <w:color w:val="000000"/>
              </w:rPr>
              <w:t>530402201410271815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4、李熙</w:t>
            </w:r>
          </w:p>
        </w:tc>
        <w:tc>
          <w:tcPr>
            <w:tcW w:w="2310" w:type="dxa"/>
            <w:vAlign w:val="center"/>
            <w:gridSpan w:val="2"/>
          </w:tcPr>
          <w:p>
            <w:pPr/>
            <w:r>
              <w:rPr>
                <w:lang w:val="zh-CN"/>
                <w:rFonts w:ascii="Times New Roman" w:hAnsi="Times New Roman" w:cs="Times New Roman"/>
                <w:sz w:val="20"/>
                <w:szCs w:val="20"/>
                <w:color w:val="000000"/>
              </w:rPr>
              <w:t>53012520060823241X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5680.00</w:t>
            </w:r>
          </w:p>
        </w:tc>
        <w:tc>
          <w:tcPr>
            <w:tcW w:w="2310" w:type="dxa"/>
          </w:tcPr>
          <w:p>
            <w:pPr/>
            <w:r>
              <w:rPr>
                <w:lang w:val="zh-CN"/>
                <w:rFonts w:ascii="Times New Roman" w:hAnsi="Times New Roman" w:cs="Times New Roman"/>
                <w:sz w:val="20"/>
                <w:szCs w:val="20"/>
                <w:color w:val="000000"/>
              </w:rPr>
              <w:t>17040.00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4680.00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总金额：贰万壹仟柒佰贰拾元整</w:t>
            </w:r>
          </w:p>
        </w:tc>
        <w:tc>
          <w:tcPr>
            <w:tcW w:w="2310" w:type="dxa"/>
            <w:textDirection w:val="right"/>
            <w:gridSpan w:val="3"/>
          </w:tcPr>
          <w:p>
            <w:pPr/>
            <w:r>
              <w:rPr>
                <w:lang w:val="zh-CN"/>
                <w:rFonts w:ascii="Times New Roman" w:hAnsi="Times New Roman" w:cs="Times New Roman"/>
                <w:b/>
                <w:color w:val="FF0000"/>
              </w:rPr>
              <w:t>21720.00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天安门广场→毛主席纪念堂→故宫→军博或首博→前门大街(巴士)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特别赠送故宫耳麦）（周一闭馆，门票为预约制，如未预约上门票则改为参观恭王府或者或补偿300元/人，旅行社不承担任何责任）深度游览故宫，打卡延禧宫。后乘坐【观光铛铛车】前往前门大街，沿途了解老北京城区布局以及老城区风光。午餐在刘老根山庄享用东北菜。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中国人民革命军事博物馆】或【首都博物馆】（如预约不上，替换成北京规划馆或其他博物馆或补偿100元/人；）。【首都博物馆】是北京最重要的文物收藏中心，是中国最高等级的博物馆之一，首都北京几百年历史遗留下的皇家珍贵文物尽藏于此，让我们沉静内心，走在缤纷的国宝中间。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升旗仪式→八达岭→飞越长城→中国科技馆→鸟巢水立方(巴士)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前往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其他可预约的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前往【鸟巢】【水立方】外景，以此为背景拍照留念，零距离体验2008激情、奥运情怀。晚餐特别安排比格或好伦哥西式披萨自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 含；晚餐： 含；住宿：北京</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颐和园→参观北大或清华大学→天坛（通票）(巴士)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特别安排参观【清华大学】或【北京大学】并穿学士服拍照（如无法入内参观，则补偿500元/人；）。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京味菜。【温馨提示】1、清华大学和北京大学实行实名制购票，成人儿童都需要刷身份证原件入内，如因客人自身原因及小孩无身份证不能入内参观，后果客人自行承担。2、清华大学和北京大学政策影响较大，如政策性关闭无法入校参观，则改为校外合影！每人补偿500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 ；住宿：天津</w:t>
            </w:r>
          </w:p>
        </w:tc>
      </w:tr>
      <w:tr>
        <w:tc>
          <w:tcPr>
            <w:tcW w:w="2310" w:type="dxa"/>
            <w:vAlign w:val="center"/>
            <w:vMerge w:val="restart"/>
          </w:tcPr>
          <w:p>
            <w:pPr/>
            <w:r>
              <w:rPr>
                <w:lang w:val="zh-CN"/>
                <w:rFonts w:ascii="Times New Roman" w:hAnsi="Times New Roman" w:cs="Times New Roman"/>
                <w:sz w:val="20"/>
                <w:szCs w:val="20"/>
                <w:color w:val="000000"/>
              </w:rPr>
              <w:t>2025/07/10</w:t>
            </w:r>
          </w:p>
        </w:tc>
        <w:tc>
          <w:tcPr>
            <w:tcW w:w="2310" w:type="dxa"/>
            <w:gridSpan w:val="7"/>
          </w:tcPr>
          <w:p>
            <w:pPr/>
            <w:r>
              <w:rPr>
                <w:lang w:val="zh-CN"/>
                <w:rFonts w:ascii="Times New Roman" w:hAnsi="Times New Roman" w:cs="Times New Roman"/>
                <w:b/>
                <w:color w:val="000000"/>
              </w:rPr>
              <w:t>天津三街→哪吒小镇→国家海洋博物馆(巴士)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全国5A级旅游景区，天津文化起源地“津门故里”【古文化街】，感受中国味，天津味，文化味，古味，领略地道的天津风土人情。远观天津的地标性建筑，直径高达110米，【天津之眼】，体现那“天门常开，彩虹初现”神奇境界。沿途欣赏天津发祥地三岔河口，当年大禹治水成功之地，古黄河出海口，有着“禹贡黄河”之称的母亲河【海河】。游览素有“万国建筑博览会”之称的租界洋楼，体验不一样的异国风情，是特定历史时期的产物，是世界建筑界的瑰宝，汇聚着西方各国异国风情的建筑【意大利风情区】（,众多名人故居囊括其中（梁启超故居、曹禺故居），以及众多影视剧作品取景地。游览参观北京小吃【食品街】（约1.5小时）。前往天津首个独具特色的封神主题园区【哪吒小镇】，哪吒小镇以陈塘关为背景，哪吒为文化题材，中国传统神话为要素，打造地标性文化内核，树立哪吒IP形象，成为河西区乃至天津市的文化名片。前往世界排名第二的海洋博物馆【国家海洋博物馆】，我国【唯一】国家级综合性海洋博物馆，也是中国首座集收藏、展示、研究、教育于一体的综合性海洋博物馆，展陈内容围绕“海洋与人类”主题展开，共设六大展区15个展厅，藏品8000余件，素有“海上故宫”之称。博物馆面朝大海，向水中延伸，整个建筑非常有艺术性， 像一条白色的鲤鱼。主体有三层，共设六大展区15个展厅，目前没有完全开放，仅开放了发现之旅、远古海洋、龙的时代、今日海洋四个展厅，完美呈现中国海洋的历史变迁。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2025/07/11</w:t>
            </w:r>
          </w:p>
        </w:tc>
        <w:tc>
          <w:tcPr>
            <w:tcW w:w="2310" w:type="dxa"/>
            <w:gridSpan w:val="7"/>
          </w:tcPr>
          <w:p>
            <w:pPr/>
            <w:r>
              <w:rPr>
                <w:lang w:val="zh-CN"/>
                <w:rFonts w:ascii="Times New Roman" w:hAnsi="Times New Roman" w:cs="Times New Roman"/>
                <w:b/>
                <w:color w:val="000000"/>
              </w:rPr>
              <w:t>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指3晚假日酒店+2晚天津希尔顿欢朋酒店；单房差费用自理。2、交通：昆明-北京/天津，往返飞机经济舱机票，当地空调旅游车。3、餐饮标准：行程所列5早7正，早餐酒店含，保证2-3个热早，全程社会餐厅用餐，餐标：30-100元/人不等；正宗京味菜【紫光园】+老边饺子宴+刘老根山庄东北菜+比格或好伦哥西式披萨自助+国宾盛宴；4、门票服务：行程内所列各景点首道大门票（全程不退任何优免门票，敬请知悉）。5、导游服务：北京地接导游服务+25人以上全陪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1、购物说明：全程不进购物店（导游车消不算店和天津麻花不算购物店，如不能接受此行为，请谨慎选择此旅游产品）2、自费说明：全程0自费；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军事博物管，科技馆、清华大学或北京大学等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⑤清华大学或北京大学改成中国人民大学或补偿500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方楠</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2025/7/4 11:37:56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