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玉溪中旺周静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何丽娜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13988496280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0726-毕业季复旦含自费含迪士尼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2025-07-31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1、唐艳萍</w:t>
            </w:r>
          </w:p>
        </w:tc>
        <w:tc>
          <w:tcPr>
            <w:tcW w:w="2310" w:type="dxa"/>
            <w:vAlign w:val="center"/>
            <w:gridSpan w:val="2"/>
          </w:tcPr>
          <w:p>
            <w:pPr/>
            <w:r>
              <w:rPr>
                <w:lang w:val="zh-CN"/>
                <w:rFonts w:ascii="Times New Roman" w:hAnsi="Times New Roman" w:cs="Times New Roman"/>
                <w:sz w:val="20"/>
                <w:szCs w:val="20"/>
                <w:color w:val="000000"/>
              </w:rPr>
              <w:t>532401197803091846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2、胡柳嫣</w:t>
            </w:r>
          </w:p>
        </w:tc>
        <w:tc>
          <w:tcPr>
            <w:tcW w:w="2310" w:type="dxa"/>
            <w:vAlign w:val="center"/>
            <w:gridSpan w:val="2"/>
          </w:tcPr>
          <w:p>
            <w:pPr/>
            <w:r>
              <w:rPr>
                <w:lang w:val="zh-CN"/>
                <w:rFonts w:ascii="Times New Roman" w:hAnsi="Times New Roman" w:cs="Times New Roman"/>
                <w:sz w:val="20"/>
                <w:szCs w:val="20"/>
                <w:color w:val="000000"/>
              </w:rPr>
              <w:t>53040220070317036X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r>
              <w:rPr>
                <w:lang w:val="zh-CN"/>
                <w:rFonts w:ascii="Times New Roman" w:hAnsi="Times New Roman" w:cs="Times New Roman"/>
                <w:sz w:val="20"/>
                <w:szCs w:val="20"/>
                <w:color w:val="000000"/>
              </w:rPr>
              <w:t>含7.25号一晚昆明住宿</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天文馆-航海博物馆-城隍庙-上海夜景(大巴)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何丽娜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15:39:57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