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陆良爨文化旅行社-杨娇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15924881777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王志春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13577723138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7-17优品京城双飞7天（含清华）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2025-07-17 CA4171 昆明→北京 07:00-1035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2025-07-23 CA2869 天津→昆明 14:05-174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1、何昱锦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530322200706251931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532228197411151976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15924906852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昆明→北京→天坛→前门大街→老北京堂会+四合院；(飞机、汽车)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早餐：无；午餐：含；晚餐：无；住宿：北京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天安门广场→毛纪→故宫→景山公园→什刹海(汽车)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军博物或首博→颐和园→清华学霸交流→参观清华大学或北京大学；(汽车)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前往清华科技园参与【清华北大学霸互动课程】游览清华科技园，学霸面对面互动学习交流；安排参观【清华大学或北京大学】，【温馨提示】1、清华大学和北京大学实行实名制购票，成人儿童都需要刷身份证原件入内，如因客人自身原因及小孩无身份证不能入内参观，后果客人自行承担。 2、由于清华大学和北京大学政策影响较大，如政策性关闭无法入校参观，则改为校外合影！每人补偿300元/人！！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自由活动(无)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自由活动一整天，不包含用车，导游及用餐服务；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，天津昆明经济舱含税机票，当地空调旅游巴士，保证一人一正座。3、餐饮标准：行程所列6早9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  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王志春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18:20:52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