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云南全季旅行社有限公司团队/散客确认件</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自由组团人罗少丽</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罗少丽</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15887123820</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云南全季旅行社有限公司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谭超群</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15912187764</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HDL06BH260728A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0728江南大境双飞6日</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2026-07-28</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2026-08-02</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2026-07-28 HO1718 昆明→昆明 12:05-14:55</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2026-08-02 HO1017 上海浦东→昆明 20:25-23:4</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1、李光晨</w:t>
            </w:r>
          </w:p>
        </w:tc>
        <w:tc>
          <w:tcPr>
            <w:tcW w:w="2310" w:type="dxa"/>
            <w:vAlign w:val="center"/>
            <w:gridSpan w:val="2"/>
          </w:tcPr>
          <w:p>
            <w:pPr/>
            <w:r>
              <w:rPr>
                <w:lang w:val="zh-CN"/>
                <w:rFonts w:ascii="Times New Roman" w:hAnsi="Times New Roman" w:cs="Times New Roman"/>
                <w:sz w:val="20"/>
                <w:szCs w:val="20"/>
                <w:color w:val="000000"/>
              </w:rPr>
              <w:t>530521200911263346</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2、张自燕</w:t>
            </w:r>
          </w:p>
        </w:tc>
        <w:tc>
          <w:tcPr>
            <w:tcW w:w="2310" w:type="dxa"/>
            <w:vAlign w:val="center"/>
            <w:gridSpan w:val="2"/>
          </w:tcPr>
          <w:p>
            <w:pPr/>
            <w:r>
              <w:rPr>
                <w:lang w:val="zh-CN"/>
                <w:rFonts w:ascii="Times New Roman" w:hAnsi="Times New Roman" w:cs="Times New Roman"/>
                <w:sz w:val="20"/>
                <w:szCs w:val="20"/>
                <w:color w:val="000000"/>
              </w:rPr>
              <w:t>533001198405230920</w:t>
            </w:r>
          </w:p>
        </w:tc>
        <w:tc>
          <w:tcPr>
            <w:tcW w:w="2310" w:type="dxa"/>
            <w:vAlign w:val="center"/>
          </w:tcPr>
          <w:p>
            <w:pPr/>
            <w:r>
              <w:rPr>
                <w:lang w:val="zh-CN"/>
                <w:rFonts w:ascii="Times New Roman" w:hAnsi="Times New Roman" w:cs="Times New Roman"/>
                <w:sz w:val="20"/>
                <w:szCs w:val="20"/>
                <w:color w:val="000000"/>
              </w:rPr>
              <w:t>15911917891</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2200.00</w:t>
            </w:r>
          </w:p>
        </w:tc>
        <w:tc>
          <w:tcPr>
            <w:tcW w:w="2310" w:type="dxa"/>
          </w:tcPr>
          <w:p>
            <w:pPr/>
            <w:r>
              <w:rPr>
                <w:lang w:val="zh-CN"/>
                <w:rFonts w:ascii="Times New Roman" w:hAnsi="Times New Roman" w:cs="Times New Roman"/>
                <w:sz w:val="20"/>
                <w:szCs w:val="20"/>
                <w:color w:val="000000"/>
              </w:rPr>
              <w:t>4400.00</w:t>
            </w:r>
          </w:p>
        </w:tc>
        <w:tc>
          <w:tcPr>
            <w:tcW w:w="2310" w:type="dxa"/>
            <w:gridSpan w:val="2"/>
          </w:tcPr>
          <w:p>
            <w:pPr/>
            <w:r>
              <w:rPr>
                <w:lang w:val="zh-CN"/>
                <w:rFonts w:ascii="Times New Roman" w:hAnsi="Times New Roman" w:cs="Times New Roman"/>
                <w:sz w:val="20"/>
                <w:szCs w:val="20"/>
                <w:color w:val="000000"/>
              </w:rPr>
              <w:t>不含机票</w:t>
            </w: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总金额：肆仟肆佰元整</w:t>
            </w:r>
          </w:p>
        </w:tc>
        <w:tc>
          <w:tcPr>
            <w:tcW w:w="2310" w:type="dxa"/>
            <w:textDirection w:val="right"/>
            <w:gridSpan w:val="3"/>
          </w:tcPr>
          <w:p>
            <w:pPr/>
            <w:r>
              <w:rPr>
                <w:lang w:val="zh-CN"/>
                <w:rFonts w:ascii="Times New Roman" w:hAnsi="Times New Roman" w:cs="Times New Roman"/>
                <w:b/>
                <w:color w:val="FF0000"/>
              </w:rPr>
              <w:t>4400.00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富滇银行股份有限公司昆明白塔支行</w:t>
            </w:r>
          </w:p>
        </w:tc>
        <w:tc>
          <w:tcPr>
            <w:tcW w:w="2310" w:type="dxa"/>
            <w:gridSpan w:val="2"/>
          </w:tcPr>
          <w:p>
            <w:pPr/>
            <w:r>
              <w:rPr>
                <w:lang w:val="zh-CN"/>
                <w:rFonts w:ascii="Times New Roman" w:hAnsi="Times New Roman" w:cs="Times New Roman"/>
                <w:sz w:val="20"/>
                <w:szCs w:val="20"/>
                <w:color w:val="000000"/>
              </w:rPr>
              <w:t>昆明康辉旅行社有限公司</w:t>
            </w:r>
          </w:p>
        </w:tc>
        <w:tc>
          <w:tcPr>
            <w:tcW w:w="2310" w:type="dxa"/>
            <w:gridSpan w:val="3"/>
          </w:tcPr>
          <w:p>
            <w:pPr/>
            <w:r>
              <w:rPr>
                <w:lang w:val="zh-CN"/>
                <w:rFonts w:ascii="Times New Roman" w:hAnsi="Times New Roman" w:cs="Times New Roman"/>
                <w:sz w:val="20"/>
                <w:szCs w:val="20"/>
                <w:color w:val="000000"/>
              </w:rPr>
              <w:t>927011010000838038</w:t>
            </w:r>
          </w:p>
        </w:tc>
      </w:tr>
      <w:tr>
        <w:tc>
          <w:tcPr>
            <w:tcW w:w="2310" w:type="dxa"/>
            <w:gridSpan w:val="3"/>
          </w:tcPr>
          <w:p>
            <w:pPr/>
            <w:r>
              <w:rPr>
                <w:lang w:val="zh-CN"/>
                <w:rFonts w:ascii="Times New Roman" w:hAnsi="Times New Roman" w:cs="Times New Roman"/>
                <w:sz w:val="20"/>
                <w:szCs w:val="20"/>
                <w:color w:val="000000"/>
              </w:rPr>
              <w:t>中国银行昆明市环城南路支行</w:t>
            </w:r>
          </w:p>
        </w:tc>
        <w:tc>
          <w:tcPr>
            <w:tcW w:w="2310" w:type="dxa"/>
            <w:gridSpan w:val="2"/>
          </w:tcPr>
          <w:p>
            <w:pPr/>
            <w:r>
              <w:rPr>
                <w:lang w:val="zh-CN"/>
                <w:rFonts w:ascii="Times New Roman" w:hAnsi="Times New Roman" w:cs="Times New Roman"/>
                <w:sz w:val="20"/>
                <w:szCs w:val="20"/>
                <w:color w:val="000000"/>
              </w:rPr>
              <w:t>王美</w:t>
            </w:r>
          </w:p>
        </w:tc>
        <w:tc>
          <w:tcPr>
            <w:tcW w:w="2310" w:type="dxa"/>
            <w:gridSpan w:val="3"/>
          </w:tcPr>
          <w:p>
            <w:pPr/>
            <w:r>
              <w:rPr>
                <w:lang w:val="zh-CN"/>
                <w:rFonts w:ascii="Times New Roman" w:hAnsi="Times New Roman" w:cs="Times New Roman"/>
                <w:sz w:val="20"/>
                <w:szCs w:val="20"/>
                <w:color w:val="000000"/>
              </w:rPr>
              <w:t>6217 9027 0000 6040 008</w:t>
            </w:r>
          </w:p>
        </w:tc>
      </w:tr>
      <w:tr>
        <w:tc>
          <w:tcPr>
            <w:tcW w:w="2310" w:type="dxa"/>
            <w:gridSpan w:val="3"/>
          </w:tcPr>
          <w:p>
            <w:pPr/>
            <w:r>
              <w:rPr>
                <w:lang w:val="zh-CN"/>
                <w:rFonts w:ascii="Times New Roman" w:hAnsi="Times New Roman" w:cs="Times New Roman"/>
                <w:sz w:val="20"/>
                <w:szCs w:val="20"/>
                <w:color w:val="000000"/>
              </w:rPr>
              <w:t>中国银行股份有限公司楚雄州开发区支行</w:t>
            </w:r>
          </w:p>
        </w:tc>
        <w:tc>
          <w:tcPr>
            <w:tcW w:w="2310" w:type="dxa"/>
            <w:gridSpan w:val="2"/>
          </w:tcPr>
          <w:p>
            <w:pPr/>
            <w:r>
              <w:rPr>
                <w:lang w:val="zh-CN"/>
                <w:rFonts w:ascii="Times New Roman" w:hAnsi="Times New Roman" w:cs="Times New Roman"/>
                <w:sz w:val="20"/>
                <w:szCs w:val="20"/>
                <w:color w:val="000000"/>
              </w:rPr>
              <w:t>云南全季旅行社有限公司</w:t>
            </w:r>
          </w:p>
        </w:tc>
        <w:tc>
          <w:tcPr>
            <w:tcW w:w="2310" w:type="dxa"/>
            <w:gridSpan w:val="3"/>
          </w:tcPr>
          <w:p>
            <w:pPr/>
            <w:r>
              <w:rPr>
                <w:lang w:val="zh-CN"/>
                <w:rFonts w:ascii="Times New Roman" w:hAnsi="Times New Roman" w:cs="Times New Roman"/>
                <w:sz w:val="20"/>
                <w:szCs w:val="20"/>
                <w:color w:val="000000"/>
              </w:rPr>
              <w:t>135686677700</w:t>
            </w:r>
          </w:p>
        </w:tc>
      </w:tr>
      <w:tr>
        <w:tc>
          <w:tcPr>
            <w:tcW w:w="2310" w:type="dxa"/>
            <w:gridSpan w:val="3"/>
          </w:tcPr>
          <w:p>
            <w:pPr/>
            <w:r>
              <w:rPr>
                <w:lang w:val="zh-CN"/>
                <w:rFonts w:ascii="Times New Roman" w:hAnsi="Times New Roman" w:cs="Times New Roman"/>
                <w:sz w:val="20"/>
                <w:szCs w:val="20"/>
                <w:color w:val="000000"/>
              </w:rPr>
              <w:t>中国银行昆明市北京路支行</w:t>
            </w:r>
          </w:p>
        </w:tc>
        <w:tc>
          <w:tcPr>
            <w:tcW w:w="2310" w:type="dxa"/>
            <w:gridSpan w:val="2"/>
          </w:tcPr>
          <w:p>
            <w:pPr/>
            <w:r>
              <w:rPr>
                <w:lang w:val="zh-CN"/>
                <w:rFonts w:ascii="Times New Roman" w:hAnsi="Times New Roman" w:cs="Times New Roman"/>
                <w:sz w:val="20"/>
                <w:szCs w:val="20"/>
                <w:color w:val="000000"/>
              </w:rPr>
              <w:t>北京嘻道国际旅行社有限公司云南分公司</w:t>
            </w:r>
          </w:p>
        </w:tc>
        <w:tc>
          <w:tcPr>
            <w:tcW w:w="2310" w:type="dxa"/>
            <w:gridSpan w:val="3"/>
          </w:tcPr>
          <w:p>
            <w:pPr/>
            <w:r>
              <w:rPr>
                <w:lang w:val="zh-CN"/>
                <w:rFonts w:ascii="Times New Roman" w:hAnsi="Times New Roman" w:cs="Times New Roman"/>
                <w:sz w:val="20"/>
                <w:szCs w:val="20"/>
                <w:color w:val="000000"/>
              </w:rPr>
              <w:t>134107986557</w:t>
            </w:r>
          </w:p>
        </w:tc>
      </w:tr>
      <w:tr>
        <w:tc>
          <w:tcPr>
            <w:tcW w:w="2310" w:type="dxa"/>
            <w:gridSpan w:val="3"/>
          </w:tcPr>
          <w:p>
            <w:pPr/>
            <w:r>
              <w:rPr>
                <w:lang w:val="zh-CN"/>
                <w:rFonts w:ascii="Times New Roman" w:hAnsi="Times New Roman" w:cs="Times New Roman"/>
                <w:sz w:val="20"/>
                <w:szCs w:val="20"/>
                <w:color w:val="000000"/>
              </w:rPr>
              <w:t>中国银行股份有限公司昆明市长水机场支行</w:t>
            </w:r>
          </w:p>
        </w:tc>
        <w:tc>
          <w:tcPr>
            <w:tcW w:w="2310" w:type="dxa"/>
            <w:gridSpan w:val="2"/>
          </w:tcPr>
          <w:p>
            <w:pPr/>
            <w:r>
              <w:rPr>
                <w:lang w:val="zh-CN"/>
                <w:rFonts w:ascii="Times New Roman" w:hAnsi="Times New Roman" w:cs="Times New Roman"/>
                <w:sz w:val="20"/>
                <w:szCs w:val="20"/>
                <w:color w:val="000000"/>
              </w:rPr>
              <w:t>海外国际旅游集团控股有限公司民航路飞扬分公司</w:t>
            </w:r>
          </w:p>
        </w:tc>
        <w:tc>
          <w:tcPr>
            <w:tcW w:w="2310" w:type="dxa"/>
            <w:gridSpan w:val="3"/>
          </w:tcPr>
          <w:p>
            <w:pPr/>
            <w:r>
              <w:rPr>
                <w:lang w:val="zh-CN"/>
                <w:rFonts w:ascii="Times New Roman" w:hAnsi="Times New Roman" w:cs="Times New Roman"/>
                <w:sz w:val="20"/>
                <w:szCs w:val="20"/>
                <w:color w:val="000000"/>
              </w:rPr>
              <w:t>137306471187</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昆明→上海/南京(飞 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前往上海/南京，抵达后入住酒店；客人出发的前一天，导游/接站师傅会通过短信/电话联系客人，请保持手机畅通；【温馨提示】1、因散客拼团，每批游客的火车/航班抵达时间不同，抵达后需要等候，请提前同游客做好解释工作送到酒店也会有先后顺序，请游客谅解！（如不愿等待的，我们可以提供有偿的接站服务：250元/趟-小轿车）2、接站是司机，不是导游；3、08：00-23：00提供免费接站服务，23：00之后落地需自行前往酒店或有偿接站服务；免费接站站点：虹桥火车站、虹桥机场、浦东机场、上海火车站，南京火车站，南京机场。5、通常酒店下午14：00后确保入住，如需提前入住，我处将为您与酒店前台确认是否有干净的空房可以提供，若无空房提供则先行办理入住，行李可寄存在前台礼宾部，当天无团队行程。后自由活动。【小提示】1.出发前请携带有效期内的身份证件原件（以备火车站验票、办理登机牌及住宿所需）；2.请务必提供准确的联系方式，并保持手机开机状态；以便当地旅行社与您取得联系；3.因不可抗力因素（如火车/飞机晚点）造成的参观景点时间压缩，旅行社不承担相应连带责任，敬请谅解；4.自由活动期间一定结伴而行，以酒店附近为主。必要时及时联系导游或应急联系人；5.入住酒店检查房间设施，如有问题请立即告知酒店服务人员，遵守入住酒店规定。如需交押金，请自行保管好押金条；退房时，房间设施无损坏，前台自行办理退押金；</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早餐：不含；午餐：不含；晚餐：不含；住宿：上海/南京</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上海→南京→扬州(大巴)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车赴南京（车程约5小时），路况特殊安排打包早敬请谅解！（全国大散拼，上海前往南京的路上无导游，导游在夫子庙等待）（如果第一天抵达城市为南京，第二天早上自由活动，无导游，导游在夫子庙等待）抵达南京，游集南京六朝文化和民俗市肆文化于一身的【秦淮河风光带-夫子庙商业街】（必销景交10元/人已含）(游览时间不少于90-120分钟)：秦淮河风光带，文德桥，乌衣巷，神州第一大照壁，感受“十里秦淮千年流淌，六朝胜地今更辉煌”，自费品尝南京小吃；随后游览我国伟大的先行者孙中山先生的长眠之处,国家级AAAAA级景区【中山陵】（必销景交20元/人已含），灵柩于1929年6月1日奉安于此。中山陵主要建筑排列在一条中轴线上，体现了中国传统建筑的风格。陵墓坐北朝南，墓地全局呈“警钟”形图案，其中祭堂为仿宫殿式的建筑，建有三道拱门，门楣上刻有“民族，民权，民生”横额。祭堂内放置孙中山先生大理石坐像，壁上刻有孙中山先生手书《建国大纲》全文。车赴扬州或者镇江（车程约1.5小时），入住酒店；【温馨提示】1、如遇中山陵周一闭馆，只能游览景区前半段，请谅解。2、中山陵2018年6月1号开始实行实名制预约，预约时间提早到30天前，由于散客拼团无法提前一月出计划和名单，如未预约成功，则安排游览雨花台或其他景区，请谅解。</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早餐：含；午餐：不含；晚餐：不含；住宿：扬州</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扬州—无锡—桐乡(大巴)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上午：早上品尝扬州特色早茶，体验当地独有的皮包水文化；游览著名的湖上园林-扬州【瘦西湖】（游玩时间约120分钟）：瘦西湖以“瘦”为特征，湖面时宽时窄，两岸林木扶疏，园林建筑古朴多姿；园区内桥很多，各有姿态，串以长堤春柳、小金山、五亭桥、白塔、二十四桥、石壁流淙等两岸景点，俨然一幅天然秀美的国画长卷。“烟花三月，十里桃花”，花开时节，万花争艳，来瘦西湖探寻美景，不负好春光。赴无锡，享用中餐；下午：游览【拈花湾禅意小镇】（游玩时间约90分钟）：位于山环水抱的太湖之滨，总体以“禅”为主题元素，连接了灵山文化景区整体的佛教文化与旅行度假双重命题，走进拈花湾，会发现在整体布局、假山水泉、亭台楼阁、一草一木都充满了宁静的禅意美学，给人带来自然的宁静和平和；※ ※ 特别体验：独家赠送价值68元/人的拈花湾华服+40元/人的拈花湾小火车，穿着华服，坐着小火车，载着春风与欢笑，欣赏樱花谷美轮美奂的美景（免票及优惠票的游客不享受赠送服务，如有需要敬请自行购买；该体验为赠送项目，游客自愿参加，如不参加无费用可退；如遇特殊情况或天气原因无法参与，无费用退还）。车赴桐乡（车程约2.5小时），漫游【乌镇西栅】(游玩时间约3小时)，乌镇西栅真正呈现了原汁原味的江南水乡古镇的历史风貌，青石板的老街长弄，纵横的古桥，石雕木雕，处处流露出古镇的昔日繁华。【提灯走桥，夜游西栅】：入夜时分，华灯初上，河面上是被灯光映照出彩色倒影的一座座古桥，顺着河道两岸的古建筑在色彩斑斓的灯光中呈现出新的意境，将整个乌镇勾画得晶莹剔透，提一盏花灯，走在古老的石拱桥上，体验迥然不同的水乡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早餐：含；午餐：含；晚餐：含；住宿：住：乌镇外/桐乡</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桐乡→杭州-苏州(大巴)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上午：早餐后车赴杭州（车程约1.5小时），游览【西湖风景区】(游览时间约90分钟，船游西湖55元/人已包含)，景区是一处以秀丽清雅的湖光山色与璀璨丰蕴的文物古迹和文化艺术交融一体的国家级风景名胜区，漫步苏堤，游览花港观鱼，远眺雷峰夕照，三潭印月，苏堤春晓，西湖十景等。温馨提示：西湖风景区涉及黄金周、节假日、周末，旅游旺季，实行交通管制，小车，大巴车均禁止进入，客人需要换乘景区公交车，20元/人，具体当天以景区安排为准，敬请谅解。中午：游览中国最大的宋文化主题景区-【宋城景区+宋城千古情表演】（已升级包含：游玩时间约120分钟）：古越先民劳作生息的动人场景、南宋王朝的繁华如烟、岳飞抗金的英雄悲情、感人至深的白蛇与许仙、催人泪下的祝传说、在这里您不仅可以充分感受宋代古都昔日的繁华景象，也可以欣赏到用世界最前的手法演绎出来的一段最古老的文化记忆。后车赴周庄古镇（车程约2.5小时），游览素有“中国第一水乡”之誉的【周庄】已含电瓶车20元/人（游览约120分钟）：体验典型的小桥流水人家的江南水乡风情。夜游周庄，自由畅游夜水乡，洗去白天的喧嚣，感悟夜的宁静，小桥流水人家，古道西风瘦马，却言美的无暇，这就是周庄，一个千年古镇所孕育出的的美，江南典型的小桥流水人家。当夜幕降临，水面上闪烁着岸边的灯火和船上的丽影，周庄的夜晚仿佛变成了另一个世界，梦境般朦胧而神秘，充满了诗意与韵味。</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早餐：含；午餐：含；晚餐：不含；住宿：住：苏州希尔顿</w:t>
            </w:r>
          </w:p>
        </w:tc>
      </w:tr>
      <w:tr>
        <w:tc>
          <w:tcPr>
            <w:tcW w:w="2310" w:type="dxa"/>
            <w:vAlign w:val="center"/>
            <w:vMerge w:val="restart"/>
          </w:tcPr>
          <w:p>
            <w:pPr/>
            <w:r>
              <w:rPr>
                <w:lang w:val="zh-CN"/>
                <w:rFonts w:ascii="Times New Roman" w:hAnsi="Times New Roman" w:cs="Times New Roman"/>
                <w:sz w:val="20"/>
                <w:szCs w:val="20"/>
                <w:color w:val="000000"/>
              </w:rPr>
              <w:t>2026/08/01</w:t>
            </w:r>
          </w:p>
        </w:tc>
        <w:tc>
          <w:tcPr>
            <w:tcW w:w="2310" w:type="dxa"/>
            <w:gridSpan w:val="7"/>
          </w:tcPr>
          <w:p>
            <w:pPr/>
            <w:r>
              <w:rPr>
                <w:lang w:val="zh-CN"/>
                <w:rFonts w:ascii="Times New Roman" w:hAnsi="Times New Roman" w:cs="Times New Roman"/>
                <w:b/>
                <w:color w:val="000000"/>
              </w:rPr>
              <w:t>苏州→上海(大巴)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上午：享用美味早餐后车赴市区，早餐后游览同“苏州拙政园、北京颐和园、承德避暑山庄“合称中国四大名园的苏州【留园】（游览时间约90分钟）：是苏州园林必去之园；庭院错落相连，镂空木窗透出季节的色彩，园内亭台楼阁、奇石曲廊，加上满园的绿意和一汪碧水池塘，一步一景，尽显江南苏州园林之美；在这里，可以体会一种园林山水之间的平淡气息；后参观千年古刹【寒山寺】（参观时间约60分钟），创建于南朝，距今已有一千四百多年的历史，因唐代诗人张继的名诗《枫桥夜泊》中“姑苏城外寒山寺、夜半钟声到客船”一句而闻名天下；寒山寺是著名的祈福胜地，古迹甚多，大雄宝殿内高大的须弥座以汉白玉雕筑，座上安奉释迦牟尼佛金身佛像，两侧靠墙供奉着明代成化年间铸造的十八尊精铁鎏金罗汉像，是由佛教圣地五台山移置于此；每天来寺中撞钟进香、祈求平安的信徒络绎不绝。车赴餐厅，品尝美食；船游【苏州古运河+评弹】（已升级包含，游览时间约1.5小时）：沿途欣赏盘门、胥门、金门、闾门等10座苏州古城门和风格不一的桥梁，许多桥洞下还配有精美的浮雕，船上还配有评弹演出，沿途讲解，在观光的同时领略苏州的历史典故，感受苏州古城的深厚文化内涵。车赴上海（车程约3小时），欣赏大上海璀璨之夜（已升级包含，游玩时间约120分钟）：登上海金贸大厦88层观光厅、乘坐豪华游轮，欣赏浦江两岸华丽的美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早餐：含；午餐：含；晚餐：不含；住宿：上海</w:t>
            </w:r>
          </w:p>
        </w:tc>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r>
              <w:rPr>
                <w:lang w:val="zh-CN"/>
                <w:rFonts w:ascii="Times New Roman" w:hAnsi="Times New Roman" w:cs="Times New Roman"/>
                <w:b/>
                <w:color w:val="000000"/>
              </w:rPr>
              <w:t>上海→昆明(飞机)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游【外滩风光带】百年上海滩的标志和象征，万国建筑博览群、黄埔江风光；【南京路步行街】自由活动，老上海十里洋场，中华五星商业街，数以千计的大中小型商场，汇集了中国最全和最时尚的商品，自由观光（约2小时）根据时间送站。  送站说明  为游客提供三趟免费的机场/火车站接送站服务：首班车：早上酒店集合送站（您的航班或车次早于12：00我们将宾馆直接安排车送站，南京路自动放弃，无费用可退！）。中午班：12点左右，南京路集合出发。下午班：15点左右（全天最后一次免费送站），南京路集合发车。（因上海为国际化大都市，交通情况不稳定，国内出发提前4小时左右赴机场）。【温馨提示】1、散客拼团，导游需要送不同车次和航班抵达的客人，由于发车或起飞的时间和港口不同，导游会统一把客人送至火车站或机场，客人会出现2-3个小时的候车或候机时间，请客人理解并配合。2、免费送站地点仅为：火车站和机场，其他地点暂不提供！3、如遭遇法定节假日返程大交通建议比平日延后1小时；4、如您的航班或车次较晚，您可以选择自由活动后自行前往机场或者火车站，费用自理。5、接送站则不一定是导游，需客人自行办理登机牌。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大交通：昆明-上海/南京；上海-昆明经济舱含税机票，不指定航班，以实际出票为准！全程正规旅游大巴车服务，保证一人一正座。座位次序为随机分配，不分先后，保证1人1正座，自由活动期间不包含用车。2、住宿服务：夜宿一晚乌镇外4钻，全程网评四钻，升级一晚国际品牌希尔顿酒店或同等级酒店。如产生单方差，客自行补房差；酒店报价是按照2人入住1间房计算，如您产生单房差，我们将尽量安排您与其他客人拼房入住。如团中未有同性游客拼住，还是会产生单房差费用。如您要求享受单房，请选择补交单人房差。3、餐饮服务：5早4正，早餐酒店含自助早餐，不用不退，正餐餐标40元/人；儿童不占床不含早餐4、门票服务：行程中所列景点首道门票，不含景区内小交通门票；门票以按照最优旅行社协议价核算，无任何证件优惠退费，请知晓！5、导游服务：当地中文导游服务，接驳期间或自由活动期间不含导游服务。无全陪服务；6、儿童报价：1.2米（不含）以下儿童，含半餐，含导游服务费，含车费。不含门票不含床位费（早餐费用现付），如超高产生门票及其他费用由家长现付；如需占床补床位费。小孩请携带户口本本人页原件。儿童另外补费明细：补儿童门票260元/人，补自费660元/人，（宋城1.2以上收费，金茂1.0以上收费，苏州游船1.2以上收费。浦江1.3以上收费）补必消（西湖游船55元、周庄20、中山陵电瓶车20元、夫子庙电瓶车10元）补早餐220元/人，补房费540元/人 参考酒店【上海参考酒店】：上海继磊国际酒店、上海瑞斯国际酒店、维也纳国际酒店（野生动物园航头地铁站店）、浦东开元大酒店、三甲港绿地铂派、荷逸悦居酒店、古亦居酒店等同级别酒店【南京参考酒店】：南京锦江都城麒麟门、宜必思尚品麒麟门店、康铂河海大学店、星程汤山酒店、汪海国际酒店等同级别酒店；扬州参考酒店】：扬州扬子天悦红山酒店、辰茂京江酒店、运河春天饭店、维也纳力宝店、智选假日文昌阁店、仪征枣林山庄、运河晶典酒店、扬州东高铁站中青国际酒店或镇江同级别酒店【乌镇参考酒店】：乌镇丽呈酒店、乌镇子悦花园酒店、乌镇陌上清雅酒店、乌镇黄金水岸大酒店、乌镇梵璞主题文化酒店、丽呈别院云逸酒店等同级别酒店；如遇节假日房满，改住桐乡嘉德大酒店、桐乡东方大酒店、桐乡贵封酒店、桐乡伯爵大酒店等同级别酒店。【苏州参考酒店】：苏州吴中希尔顿花园，如遇希尔顿酒店房满，升级苏州携程5钻酒店：吴中福朋喜来登、丽斯珀大酒店、恒力悠客酒店、国际会议酒店、太美香谷里、黄金水岸大酒店、东恒顺大酒店、吴江瑞廷西郊酒店等同级别酒店</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自费一价全含660元已升级包含1、苏州古运河：约1小时，价值：150元/人；2、上海夜景（登金茂大厦+黄浦江游船）：约2小时，价值：320元/人；3、宋城千古情：约2小时，价值：260元/人；儿童特别说明：儿童价格未包含以上三个项目 超高请自理门票费用。自费景交西湖接驳车20元/人需自理西湖游船55元、周庄电瓶车20元、中山陵电瓶车20元 夫子庙电瓶车10元共105元/人已升级包含</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罗少丽</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谭超群</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28</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2026/7/28 9:16:00</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