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天龙八部黄娟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13578082722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1、罗碧松</w:t>
            </w:r>
          </w:p>
        </w:tc>
        <w:tc>
          <w:tcPr>
            <w:tcW w:w="2310" w:type="dxa"/>
            <w:vAlign w:val="center"/>
            <w:gridSpan w:val="2"/>
          </w:tcPr>
          <w:p>
            <w:pPr/>
            <w:r>
              <w:rPr>
                <w:lang w:val="zh-CN"/>
                <w:rFonts w:ascii="Times New Roman" w:hAnsi="Times New Roman" w:cs="Times New Roman"/>
                <w:sz w:val="20"/>
                <w:szCs w:val="20"/>
                <w:color w:val="000000"/>
              </w:rPr>
              <w:t>532129198012032510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2、罗沛菡</w:t>
            </w:r>
          </w:p>
        </w:tc>
        <w:tc>
          <w:tcPr>
            <w:tcW w:w="2310" w:type="dxa"/>
            <w:vAlign w:val="center"/>
            <w:gridSpan w:val="2"/>
          </w:tcPr>
          <w:p>
            <w:pPr/>
            <w:r>
              <w:rPr>
                <w:lang w:val="zh-CN"/>
                <w:rFonts w:ascii="Times New Roman" w:hAnsi="Times New Roman" w:cs="Times New Roman"/>
                <w:sz w:val="20"/>
                <w:szCs w:val="20"/>
                <w:color w:val="000000"/>
              </w:rPr>
              <w:t>530628201005181124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3、张顺会</w:t>
            </w:r>
          </w:p>
        </w:tc>
        <w:tc>
          <w:tcPr>
            <w:tcW w:w="2310" w:type="dxa"/>
            <w:vAlign w:val="center"/>
            <w:gridSpan w:val="2"/>
          </w:tcPr>
          <w:p>
            <w:pPr/>
            <w:r>
              <w:rPr>
                <w:lang w:val="zh-CN"/>
                <w:rFonts w:ascii="Times New Roman" w:hAnsi="Times New Roman" w:cs="Times New Roman"/>
                <w:sz w:val="20"/>
                <w:szCs w:val="20"/>
                <w:color w:val="000000"/>
              </w:rPr>
              <w:t>532129196511131143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总金额：壹万陆仟柒佰肆拾元整</w:t>
            </w:r>
          </w:p>
        </w:tc>
        <w:tc>
          <w:tcPr>
            <w:tcW w:w="2310" w:type="dxa"/>
            <w:textDirection w:val="right"/>
            <w:gridSpan w:val="3"/>
          </w:tcPr>
          <w:p>
            <w:pPr/>
            <w:r>
              <w:rPr>
                <w:lang w:val="zh-CN"/>
                <w:rFonts w:ascii="Times New Roman" w:hAnsi="Times New Roman" w:cs="Times New Roman"/>
                <w:b/>
                <w:color w:val="FF0000"/>
              </w:rPr>
              <w:t>16740.00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黄娟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16:29:11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