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红河程程-李江燕</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李江燕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13987383985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0716华东6天单团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33(18大15小)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2025-07-16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2025-07-21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11岁以上</w:t>
            </w:r>
          </w:p>
        </w:tc>
        <w:tc>
          <w:tcPr>
            <w:tcW w:w="2310" w:type="dxa"/>
          </w:tcPr>
          <w:p>
            <w:pPr/>
            <w:r>
              <w:rPr>
                <w:lang w:val="zh-CN"/>
                <w:rFonts w:ascii="Times New Roman" w:hAnsi="Times New Roman" w:cs="Times New Roman"/>
                <w:sz w:val="20"/>
                <w:szCs w:val="20"/>
                <w:color w:val="000000"/>
              </w:rPr>
              <w:t>17</w:t>
            </w:r>
          </w:p>
        </w:tc>
        <w:tc>
          <w:tcPr>
            <w:tcW w:w="2310" w:type="dxa"/>
          </w:tcPr>
          <w:p>
            <w:pPr/>
            <w:r>
              <w:rPr>
                <w:lang w:val="zh-CN"/>
                <w:rFonts w:ascii="Times New Roman" w:hAnsi="Times New Roman" w:cs="Times New Roman"/>
                <w:sz w:val="20"/>
                <w:szCs w:val="20"/>
                <w:color w:val="000000"/>
              </w:rPr>
              <w:t>5550.00</w:t>
            </w:r>
          </w:p>
        </w:tc>
        <w:tc>
          <w:tcPr>
            <w:tcW w:w="2310" w:type="dxa"/>
          </w:tcPr>
          <w:p>
            <w:pPr/>
            <w:r>
              <w:rPr>
                <w:lang w:val="zh-CN"/>
                <w:rFonts w:ascii="Times New Roman" w:hAnsi="Times New Roman" w:cs="Times New Roman"/>
                <w:sz w:val="20"/>
                <w:szCs w:val="20"/>
                <w:color w:val="000000"/>
              </w:rPr>
              <w:t>94350.00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11岁以下</w:t>
            </w:r>
          </w:p>
        </w:tc>
        <w:tc>
          <w:tcPr>
            <w:tcW w:w="2310" w:type="dxa"/>
          </w:tcPr>
          <w:p>
            <w:pPr/>
            <w:r>
              <w:rPr>
                <w:lang w:val="zh-CN"/>
                <w:rFonts w:ascii="Times New Roman" w:hAnsi="Times New Roman" w:cs="Times New Roman"/>
                <w:sz w:val="20"/>
                <w:szCs w:val="20"/>
                <w:color w:val="000000"/>
              </w:rPr>
              <w:t>15</w:t>
            </w:r>
          </w:p>
        </w:tc>
        <w:tc>
          <w:tcPr>
            <w:tcW w:w="2310" w:type="dxa"/>
          </w:tcPr>
          <w:p>
            <w:pPr/>
            <w:r>
              <w:rPr>
                <w:lang w:val="zh-CN"/>
                <w:rFonts w:ascii="Times New Roman" w:hAnsi="Times New Roman" w:cs="Times New Roman"/>
                <w:sz w:val="20"/>
                <w:szCs w:val="20"/>
                <w:color w:val="000000"/>
              </w:rPr>
              <w:t>5370.00</w:t>
            </w:r>
          </w:p>
        </w:tc>
        <w:tc>
          <w:tcPr>
            <w:tcW w:w="2310" w:type="dxa"/>
          </w:tcPr>
          <w:p>
            <w:pPr/>
            <w:r>
              <w:rPr>
                <w:lang w:val="zh-CN"/>
                <w:rFonts w:ascii="Times New Roman" w:hAnsi="Times New Roman" w:cs="Times New Roman"/>
                <w:sz w:val="20"/>
                <w:szCs w:val="20"/>
                <w:color w:val="000000"/>
              </w:rPr>
              <w:t>80550.00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总金额：壹拾柒万肆仟玖佰元整</w:t>
            </w:r>
          </w:p>
        </w:tc>
        <w:tc>
          <w:tcPr>
            <w:tcW w:w="2310" w:type="dxa"/>
            <w:textDirection w:val="right"/>
            <w:gridSpan w:val="3"/>
          </w:tcPr>
          <w:p>
            <w:pPr/>
            <w:r>
              <w:rPr>
                <w:lang w:val="zh-CN"/>
                <w:rFonts w:ascii="Times New Roman" w:hAnsi="Times New Roman" w:cs="Times New Roman"/>
                <w:b/>
                <w:color w:val="FF0000"/>
              </w:rPr>
              <w:t>174900.00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昆明→上海→外滩→登金茂+黄浦江游船(飞机)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航海博物馆→天文馆(大巴)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门票为预约制，如预约不上将退还门票取消参观，旅行社不承担责任）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早餐：酒店赠送，不占床不含早餐；午餐：含；晚餐：含；住宿：上海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迪士尼一日游(大巴)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早餐：酒店赠送，儿童不占床不含早餐；午餐：无；晚餐：无；住宿：上海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西湖→浙江大学(大巴)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接驳车20元】，乘船游西湖才能尽观西湖之秀美，也是领略西湖美景的经典途径之一，湖面上往来的船只和赏景的游人也是西子湖一景。坐在游船上，畅游湖光山色，细观绿波岚影，领略一番西子湖“淡妆浓抹总相宜”的美丽动人风貌。入内参观【浙江大学】（不指定校区），浙江大学是一所历史悠久、声誉卓著的高等学府，坐落于中国历史文化名城、风景旅游胜地杭州。浙江大学的前身求是书院创立于1897年，为中国人自己最早创办的新式高等学校之一。【科技之光】机器人实验室了解浙大机器人学科建设、前沿技术成果;走进浙大最顶尖机器人实验室，解码工科实验室，实景探访科研生活与科研方法:前沿机器人真实设备互动演示，零距离感受机器人对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南浔→乌镇东栅→拈花湾(大巴)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南浔古镇】景点小门票自理“江南古镇九十九，不如南浔走一走。”灰瓦白墙、淼淼水波，初看南浔古镇，和其他江南水乡并无二致；走进一间间旧宅、庭院，才能体味南浔在一众江南古镇中独树一帜的奥秘。集合前往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拈花湾】位于山环水抱的太湖之滨，总体以“禅”为主题元素，连接了灵山文化景区整体的佛教文化与旅行度假双重命题，走进拈花湾，会发现在整体布局、假山水泉、亭台楼阁、一草一木都充满了宁静的禅意美学，给人带来自然的宁静和平和；【榫卯非遗活动】结合学校课本知识点、现场考察、知识拓展、设计制作、参与互动、实践体验相结合的综合教育研学课程。1、通过观察拈花湾各式的木质建筑和木质家具,学习古建筑的灵魂——榫卯结构的相关知识.2、提高学生们的文化艺术素养,了解榫卯的工艺特点与其背后的精神文化价值3、让学生们领悟匠人精神,接收传统优秀文化的熏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早餐：酒店赠送，不占床不含餐；午餐：含；晚餐：含；住宿：拈花湾</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复旦大学→昆明(飞机)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返回昆明，入住机场附近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早餐：酒店赠送，不占床不含餐；午餐：含；晚餐：含；住宿：昆明机场附近</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10正，早餐自助早，正餐50元/人/餐，八菜一汤，十人一桌，人数不足十人，数量相应减少。提示：早餐不用不退哦！如因自身原因放弃用餐，则餐费不退。不占床儿童不含早餐。3、酒店服务：4晚3钻+1晚拈花湾客栈，出现自然单间补房差。4、景点门票：行程内所列景点首道大门票：西湖游船，南浔古镇，上海天文馆，航海博物馆，乌镇东栅，拈花湾、复旦大学、浙江大学、登金茂大厦、黄浦江游船、迪士尼门票5、导游服务：当地优秀导游服务（接驳期间或自由活动期间不含导游服务）6、儿童标准：3岁或1.0米以下：不占床不含早餐、不含门票、不占床。3-11岁 ：不占床不含早餐，含半票（景区半票+迪士尼半票）12岁以上占床含门票：同成人价格以上超高儿童需要占床含门票按照补门票补占床费用收取，不能按照成人价格收取，请知悉。</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 不带钱包的旅行</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李江燕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2025/7/10 14:14:04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