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师宗陈木金</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陈木金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18388269558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7-15 京彩环球双飞6日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10960.00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r>
              <w:rPr>
                <w:lang w:val="zh-CN"/>
                <w:rFonts w:ascii="Times New Roman" w:hAnsi="Times New Roman" w:cs="Times New Roman"/>
                <w:sz w:val="20"/>
                <w:szCs w:val="20"/>
                <w:color w:val="000000"/>
              </w:rPr>
              <w:t>13岁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4580.00</w:t>
            </w:r>
          </w:p>
        </w:tc>
        <w:tc>
          <w:tcPr>
            <w:tcW w:w="2310" w:type="dxa"/>
            <w:gridSpan w:val="2"/>
          </w:tcPr>
          <w:p>
            <w:pPr/>
            <w:r>
              <w:rPr>
                <w:lang w:val="zh-CN"/>
                <w:rFonts w:ascii="Times New Roman" w:hAnsi="Times New Roman" w:cs="Times New Roman"/>
                <w:sz w:val="20"/>
                <w:szCs w:val="20"/>
                <w:color w:val="000000"/>
              </w:rPr>
              <w:t>9岁</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总金额：贰万壹仟零贰拾元整</w:t>
            </w:r>
          </w:p>
        </w:tc>
        <w:tc>
          <w:tcPr>
            <w:tcW w:w="2310" w:type="dxa"/>
            <w:textDirection w:val="right"/>
            <w:gridSpan w:val="3"/>
          </w:tcPr>
          <w:p>
            <w:pPr/>
            <w:r>
              <w:rPr>
                <w:lang w:val="zh-CN"/>
                <w:rFonts w:ascii="Times New Roman" w:hAnsi="Times New Roman" w:cs="Times New Roman"/>
                <w:b/>
                <w:color w:val="FF0000"/>
              </w:rPr>
              <w:t>21020.00</w:t>
            </w:r>
          </w:p>
        </w:tc>
      </w:tr>
      <w:tr>
        <w:tc>
          <w:tcPr>
            <w:tcW w:w="2310" w:type="dxa"/>
            <w:gridSpan w:val="8"/>
          </w:tcPr>
          <w:p>
            <w:pPr/>
            <w:r>
              <w:rPr>
                <w:lang w:val="zh-CN"/>
                <w:rFonts w:ascii="Times New Roman" w:hAnsi="Times New Roman" w:cs="Times New Roman"/>
                <w:sz w:val="20"/>
                <w:szCs w:val="20"/>
                <w:color w:val="000000"/>
              </w:rPr>
              <w:t>用家庭房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陈木金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14:31:33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