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1、张金仙</w:t>
            </w:r>
          </w:p>
        </w:tc>
        <w:tc>
          <w:tcPr>
            <w:tcW w:w="2310" w:type="dxa"/>
            <w:vAlign w:val="center"/>
            <w:gridSpan w:val="2"/>
          </w:tcPr>
          <w:p>
            <w:pPr/>
            <w:r>
              <w:rPr>
                <w:lang w:val="zh-CN"/>
                <w:rFonts w:ascii="Times New Roman" w:hAnsi="Times New Roman" w:cs="Times New Roman"/>
                <w:sz w:val="20"/>
                <w:szCs w:val="20"/>
                <w:color w:val="000000"/>
              </w:rPr>
              <w:t>532425198110281829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2、李沁阳</w:t>
            </w:r>
          </w:p>
        </w:tc>
        <w:tc>
          <w:tcPr>
            <w:tcW w:w="2310" w:type="dxa"/>
            <w:vAlign w:val="center"/>
            <w:gridSpan w:val="2"/>
          </w:tcPr>
          <w:p>
            <w:pPr/>
            <w:r>
              <w:rPr>
                <w:lang w:val="zh-CN"/>
                <w:rFonts w:ascii="Times New Roman" w:hAnsi="Times New Roman" w:cs="Times New Roman"/>
                <w:sz w:val="20"/>
                <w:szCs w:val="20"/>
                <w:color w:val="000000"/>
              </w:rPr>
              <w:t>530402201803121818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3、李乐阳</w:t>
            </w:r>
          </w:p>
        </w:tc>
        <w:tc>
          <w:tcPr>
            <w:tcW w:w="2310" w:type="dxa"/>
            <w:vAlign w:val="center"/>
            <w:gridSpan w:val="2"/>
          </w:tcPr>
          <w:p>
            <w:pPr/>
            <w:r>
              <w:rPr>
                <w:lang w:val="zh-CN"/>
                <w:rFonts w:ascii="Times New Roman" w:hAnsi="Times New Roman" w:cs="Times New Roman"/>
                <w:sz w:val="20"/>
                <w:szCs w:val="20"/>
                <w:color w:val="000000"/>
              </w:rPr>
              <w:t>530402201410271815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4、李熙</w:t>
            </w:r>
          </w:p>
        </w:tc>
        <w:tc>
          <w:tcPr>
            <w:tcW w:w="2310" w:type="dxa"/>
            <w:vAlign w:val="center"/>
            <w:gridSpan w:val="2"/>
          </w:tcPr>
          <w:p>
            <w:pPr/>
            <w:r>
              <w:rPr>
                <w:lang w:val="zh-CN"/>
                <w:rFonts w:ascii="Times New Roman" w:hAnsi="Times New Roman" w:cs="Times New Roman"/>
                <w:sz w:val="20"/>
                <w:szCs w:val="20"/>
                <w:color w:val="000000"/>
              </w:rPr>
              <w:t>53012520060823241X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18240.00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4780.00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总金额：贰万叁仟零贰拾元整</w:t>
            </w:r>
          </w:p>
        </w:tc>
        <w:tc>
          <w:tcPr>
            <w:tcW w:w="2310" w:type="dxa"/>
            <w:textDirection w:val="right"/>
            <w:gridSpan w:val="3"/>
          </w:tcPr>
          <w:p>
            <w:pPr/>
            <w:r>
              <w:rPr>
                <w:lang w:val="zh-CN"/>
                <w:rFonts w:ascii="Times New Roman" w:hAnsi="Times New Roman" w:cs="Times New Roman"/>
                <w:b/>
                <w:color w:val="FF0000"/>
              </w:rPr>
              <w:t>23020.00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 11:01:47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