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昆明春秋国旅段柯敏</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段柯敏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13888489105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7-25 毕业季 北京+环球双飞6天（假日+希尔顿）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2025-07-25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2025-07-30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1、王大艳</w:t>
            </w:r>
          </w:p>
        </w:tc>
        <w:tc>
          <w:tcPr>
            <w:tcW w:w="2310" w:type="dxa"/>
            <w:vAlign w:val="center"/>
            <w:gridSpan w:val="2"/>
          </w:tcPr>
          <w:p>
            <w:pPr/>
            <w:r>
              <w:rPr>
                <w:lang w:val="zh-CN"/>
                <w:rFonts w:ascii="Times New Roman" w:hAnsi="Times New Roman" w:cs="Times New Roman"/>
                <w:sz w:val="20"/>
                <w:szCs w:val="20"/>
                <w:color w:val="000000"/>
              </w:rPr>
              <w:t>532101198209010626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2、杨礼谦</w:t>
            </w:r>
          </w:p>
        </w:tc>
        <w:tc>
          <w:tcPr>
            <w:tcW w:w="2310" w:type="dxa"/>
            <w:vAlign w:val="center"/>
            <w:gridSpan w:val="2"/>
          </w:tcPr>
          <w:p>
            <w:pPr/>
            <w:r>
              <w:rPr>
                <w:lang w:val="zh-CN"/>
                <w:rFonts w:ascii="Times New Roman" w:hAnsi="Times New Roman" w:cs="Times New Roman"/>
                <w:sz w:val="20"/>
                <w:szCs w:val="20"/>
                <w:color w:val="000000"/>
              </w:rPr>
              <w:t>530112201312107233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3、杨礼元</w:t>
            </w:r>
          </w:p>
        </w:tc>
        <w:tc>
          <w:tcPr>
            <w:tcW w:w="2310" w:type="dxa"/>
            <w:vAlign w:val="center"/>
            <w:gridSpan w:val="2"/>
          </w:tcPr>
          <w:p>
            <w:pPr/>
            <w:r>
              <w:rPr>
                <w:lang w:val="zh-CN"/>
                <w:rFonts w:ascii="Times New Roman" w:hAnsi="Times New Roman" w:cs="Times New Roman"/>
                <w:sz w:val="20"/>
                <w:szCs w:val="20"/>
                <w:color w:val="000000"/>
              </w:rPr>
              <w:t>530112201612297219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4、王大琼</w:t>
            </w:r>
          </w:p>
        </w:tc>
        <w:tc>
          <w:tcPr>
            <w:tcW w:w="2310" w:type="dxa"/>
            <w:vAlign w:val="center"/>
            <w:gridSpan w:val="2"/>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5、吴思源</w:t>
            </w:r>
          </w:p>
        </w:tc>
        <w:tc>
          <w:tcPr>
            <w:tcW w:w="2310" w:type="dxa"/>
            <w:vAlign w:val="center"/>
            <w:gridSpan w:val="2"/>
          </w:tcPr>
          <w:p>
            <w:pPr/>
            <w:r>
              <w:rPr>
                <w:lang w:val="zh-CN"/>
                <w:rFonts w:ascii="Times New Roman" w:hAnsi="Times New Roman" w:cs="Times New Roman"/>
                <w:sz w:val="20"/>
                <w:szCs w:val="20"/>
                <w:color w:val="000000"/>
              </w:rPr>
              <w:t>530602201803230986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6730.00</w:t>
            </w:r>
          </w:p>
        </w:tc>
        <w:tc>
          <w:tcPr>
            <w:tcW w:w="2310" w:type="dxa"/>
          </w:tcPr>
          <w:p>
            <w:pPr/>
            <w:r>
              <w:rPr>
                <w:lang w:val="zh-CN"/>
                <w:rFonts w:ascii="Times New Roman" w:hAnsi="Times New Roman" w:cs="Times New Roman"/>
                <w:sz w:val="20"/>
                <w:szCs w:val="20"/>
                <w:color w:val="000000"/>
              </w:rPr>
              <w:t>26920.00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5330.00</w:t>
            </w:r>
          </w:p>
        </w:tc>
        <w:tc>
          <w:tcPr>
            <w:tcW w:w="2310" w:type="dxa"/>
          </w:tcPr>
          <w:p>
            <w:pPr/>
            <w:r>
              <w:rPr>
                <w:lang w:val="zh-CN"/>
                <w:rFonts w:ascii="Times New Roman" w:hAnsi="Times New Roman" w:cs="Times New Roman"/>
                <w:sz w:val="20"/>
                <w:szCs w:val="20"/>
                <w:color w:val="000000"/>
              </w:rPr>
              <w:t>5330.00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王大琼，吴思源不要机票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-2250.00</w:t>
            </w:r>
          </w:p>
        </w:tc>
        <w:tc>
          <w:tcPr>
            <w:tcW w:w="2310" w:type="dxa"/>
          </w:tcPr>
          <w:p>
            <w:pPr/>
            <w:r>
              <w:rPr>
                <w:lang w:val="zh-CN"/>
                <w:rFonts w:ascii="Times New Roman" w:hAnsi="Times New Roman" w:cs="Times New Roman"/>
                <w:sz w:val="20"/>
                <w:szCs w:val="20"/>
                <w:color w:val="000000"/>
              </w:rPr>
              <w:t>-4500.00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总金额：贰万柒仟柒佰伍拾元整</w:t>
            </w:r>
          </w:p>
        </w:tc>
        <w:tc>
          <w:tcPr>
            <w:tcW w:w="2310" w:type="dxa"/>
            <w:textDirection w:val="right"/>
            <w:gridSpan w:val="3"/>
          </w:tcPr>
          <w:p>
            <w:pPr/>
            <w:r>
              <w:rPr>
                <w:lang w:val="zh-CN"/>
                <w:rFonts w:ascii="Times New Roman" w:hAnsi="Times New Roman" w:cs="Times New Roman"/>
                <w:b/>
                <w:color w:val="FF0000"/>
              </w:rPr>
              <w:t>27750.00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早餐：无；午餐：无；晚餐：无；住宿：北京</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天安门广场→毛主席纪念堂→故宫→首都博物馆→前门大街(汽车)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午餐在刘老根山庄享用东北菜。前往【中国人民革命军事博物馆】或【首都博物馆】（如预约不上，替换成北京规划馆或其他博物馆或者补偿100元/人；），首都博物馆北京最重要的文物收藏中心，是中国最高等级的博物馆之一，首都北京几百年历史遗留下的皇家珍贵文物尽藏于此，让我们沉静内心，走在缤纷的国宝中间。特别安排乘坐【观光铛铛车】，沿途了解老北京城区布局以及老城区风光。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早餐：酒店自助早或打包早；午餐：含中餐；晚餐：无；住宿：北京</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升旗仪式→八达岭→飞越长城→中国科技馆→鸟巢水立方(汽车)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早餐：酒店自助早或打包早；午餐：含中餐；晚餐：含晚餐；住宿：北京</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颐和园→参观清华大学或北京大学→天坛（通票）(汽车)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不能进去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由于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早餐：酒店自助早或打包早；午餐：含中餐；晚餐：含晚餐；住宿：天津</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环球影视城一日游(汽车)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早餐：酒店自助早或打包早；午餐：无；晚餐：无；住宿：天津</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早餐：酒店自助早或打包早；午餐：无；晚餐：无；住宿：无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酒店或全季酒店住宿+2晚天津希尔顿欢朋酒店；单房差费用自理。2、交通：昆明-北京/天津，往返飞机经济舱机票，当地空调旅游车。3、餐饮标准：行程所列5早5正，早餐为酒店自助早（由于出发时间较早或者客人自动放弃等因素弃用不用不退），正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安排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全程无自费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段柯敏</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2025/7/20 14:57:48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