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新飞扬毛星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13769455577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XA-LDS04FJ250718A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25年暑期 盛唐忆·长恨歌. 双飞4日游（12-15人精品小团）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2025-07-18 MU2263 昆明→西安 0935-1205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2025-07-21 MU2264 西安→昆明 2115-233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1、马世昌</w:t>
            </w:r>
          </w:p>
        </w:tc>
        <w:tc>
          <w:tcPr>
            <w:tcW w:w="2310" w:type="dxa"/>
            <w:vAlign w:val="center"/>
            <w:gridSpan w:val="2"/>
          </w:tcPr>
          <w:p>
            <w:pPr/>
            <w:r>
              <w:rPr>
                <w:lang w:val="zh-CN"/>
                <w:rFonts w:ascii="Times New Roman" w:hAnsi="Times New Roman" w:cs="Times New Roman"/>
                <w:sz w:val="20"/>
                <w:szCs w:val="20"/>
                <w:color w:val="000000"/>
              </w:rPr>
              <w:t>532529194611100013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2、马钰淳</w:t>
            </w:r>
          </w:p>
        </w:tc>
        <w:tc>
          <w:tcPr>
            <w:tcW w:w="2310" w:type="dxa"/>
            <w:vAlign w:val="center"/>
            <w:gridSpan w:val="2"/>
          </w:tcPr>
          <w:p>
            <w:pPr/>
            <w:r>
              <w:rPr>
                <w:lang w:val="zh-CN"/>
                <w:rFonts w:ascii="Times New Roman" w:hAnsi="Times New Roman" w:cs="Times New Roman"/>
                <w:sz w:val="20"/>
                <w:szCs w:val="20"/>
                <w:color w:val="000000"/>
              </w:rPr>
              <w:t>532529198006180025</w:t>
            </w:r>
          </w:p>
        </w:tc>
        <w:tc>
          <w:tcPr>
            <w:tcW w:w="2310" w:type="dxa"/>
            <w:vAlign w:val="center"/>
          </w:tcPr>
          <w:p>
            <w:pPr/>
            <w:r>
              <w:rPr>
                <w:lang w:val="zh-CN"/>
                <w:rFonts w:ascii="Times New Roman" w:hAnsi="Times New Roman" w:cs="Times New Roman"/>
                <w:sz w:val="20"/>
                <w:szCs w:val="20"/>
                <w:color w:val="000000"/>
              </w:rPr>
              <w:t>13769481066</w:t>
            </w:r>
          </w:p>
        </w:tc>
      </w:tr>
      <w:tr>
        <w:tc>
          <w:tcPr>
            <w:tcW w:w="2310" w:type="dxa"/>
            <w:vAlign w:val="center"/>
          </w:tcPr>
          <w:p>
            <w:pPr/>
            <w:r>
              <w:rPr>
                <w:lang w:val="zh-CN"/>
                <w:rFonts w:ascii="Times New Roman" w:hAnsi="Times New Roman" w:cs="Times New Roman"/>
                <w:sz w:val="20"/>
                <w:szCs w:val="20"/>
                <w:color w:val="000000"/>
              </w:rPr>
              <w:t>3、黄夕凌</w:t>
            </w:r>
          </w:p>
        </w:tc>
        <w:tc>
          <w:tcPr>
            <w:tcW w:w="2310" w:type="dxa"/>
            <w:vAlign w:val="center"/>
            <w:gridSpan w:val="2"/>
          </w:tcPr>
          <w:p>
            <w:pPr/>
            <w:r>
              <w:rPr>
                <w:lang w:val="zh-CN"/>
                <w:rFonts w:ascii="Times New Roman" w:hAnsi="Times New Roman" w:cs="Times New Roman"/>
                <w:sz w:val="20"/>
                <w:szCs w:val="20"/>
                <w:color w:val="000000"/>
              </w:rPr>
              <w:t>532529201307280024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4、黄勃晰</w:t>
            </w:r>
          </w:p>
        </w:tc>
        <w:tc>
          <w:tcPr>
            <w:tcW w:w="2310" w:type="dxa"/>
            <w:vAlign w:val="center"/>
            <w:gridSpan w:val="2"/>
          </w:tcPr>
          <w:p>
            <w:pPr/>
            <w:r>
              <w:rPr>
                <w:lang w:val="zh-CN"/>
                <w:rFonts w:ascii="Times New Roman" w:hAnsi="Times New Roman" w:cs="Times New Roman"/>
                <w:sz w:val="20"/>
                <w:szCs w:val="20"/>
                <w:color w:val="000000"/>
              </w:rPr>
              <w:t>532529201808170018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5、马钰雅</w:t>
            </w:r>
          </w:p>
        </w:tc>
        <w:tc>
          <w:tcPr>
            <w:tcW w:w="2310" w:type="dxa"/>
            <w:vAlign w:val="center"/>
            <w:gridSpan w:val="2"/>
          </w:tcPr>
          <w:p>
            <w:pPr/>
            <w:r>
              <w:rPr>
                <w:lang w:val="zh-CN"/>
                <w:rFonts w:ascii="Times New Roman" w:hAnsi="Times New Roman" w:cs="Times New Roman"/>
                <w:sz w:val="20"/>
                <w:szCs w:val="20"/>
                <w:color w:val="000000"/>
              </w:rPr>
              <w:t>532529198412030022</w:t>
            </w:r>
          </w:p>
        </w:tc>
        <w:tc>
          <w:tcPr>
            <w:tcW w:w="2310" w:type="dxa"/>
            <w:vAlign w:val="center"/>
          </w:tcPr>
          <w:p>
            <w:pPr/>
            <w:r>
              <w:rPr>
                <w:lang w:val="zh-CN"/>
                <w:rFonts w:ascii="Times New Roman" w:hAnsi="Times New Roman" w:cs="Times New Roman"/>
                <w:sz w:val="20"/>
                <w:szCs w:val="20"/>
                <w:color w:val="000000"/>
              </w:rPr>
              <w:t>13887300123</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12240.00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5760.00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398.00</w:t>
            </w:r>
          </w:p>
        </w:tc>
        <w:tc>
          <w:tcPr>
            <w:tcW w:w="2310" w:type="dxa"/>
          </w:tcPr>
          <w:p>
            <w:pPr/>
            <w:r>
              <w:rPr>
                <w:lang w:val="zh-CN"/>
                <w:rFonts w:ascii="Times New Roman" w:hAnsi="Times New Roman" w:cs="Times New Roman"/>
                <w:sz w:val="20"/>
                <w:szCs w:val="20"/>
                <w:color w:val="000000"/>
              </w:rPr>
              <w:t>398.00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420.00</w:t>
            </w:r>
          </w:p>
        </w:tc>
        <w:tc>
          <w:tcPr>
            <w:tcW w:w="2310" w:type="dxa"/>
          </w:tcPr>
          <w:p>
            <w:pPr/>
            <w:r>
              <w:rPr>
                <w:lang w:val="zh-CN"/>
                <w:rFonts w:ascii="Times New Roman" w:hAnsi="Times New Roman" w:cs="Times New Roman"/>
                <w:sz w:val="20"/>
                <w:szCs w:val="20"/>
                <w:color w:val="000000"/>
              </w:rPr>
              <w:t>420.00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总金额：壹万捌仟捌佰壹拾捌元整</w:t>
            </w:r>
          </w:p>
        </w:tc>
        <w:tc>
          <w:tcPr>
            <w:tcW w:w="2310" w:type="dxa"/>
            <w:textDirection w:val="right"/>
            <w:gridSpan w:val="3"/>
          </w:tcPr>
          <w:p>
            <w:pPr/>
            <w:r>
              <w:rPr>
                <w:lang w:val="zh-CN"/>
                <w:rFonts w:ascii="Times New Roman" w:hAnsi="Times New Roman" w:cs="Times New Roman"/>
                <w:b/>
                <w:color w:val="FF0000"/>
              </w:rPr>
              <w:t>18818.00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赴西安。欢迎您来到十三朝古都西安，古称长安是华夏文明发源地之一。从遥远的石器时代到周礼秦制汉风唐韵展现了中华古代文明最鼎盛的璀璨文化和绚丽的历史人文。抵达接站后，送至酒店，入住休息。推荐自由活动：?【德福巷酒吧一条街】长安城繁华的夜生活，青石铺路，绿树比肩，古香古色的仿古建筑错落有致的分立两边。大大小小的咖啡屋、酒吧、茶馆，让不到200米长的小街溢满了小资情调。?【曲江书城】【方所书店】【蓝海风·漫巷】网红打卡点，享受悠闲下午时光。?【书院门文化街】走在这条街上，脚下是青石板铺路，古色古香的街道旁，都是字画店铺和经营文房四宝的小店。和其他热闹的商业步行街相比，这里显得非常的清净。?【老菜场市井创意文化街区】打卡热门之地，夜西安“Top人气街”之一，是集市井气息和潮流时尚一体的文化创意街区，可以在这里喝喝咖啡，拍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明城墙-含光门遗址博物馆-老菜场文化街区-书院门-陕西歌舞大剧院-长安十二时辰-大唐不夜城(汽车)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明城墙】(游览时间约1.5小时)明朝初年在明太祖朱元璋的政策“高筑墙、广积粮、缓称王”的指导下在唐皇城的基础上建成的世界保存最完整的古城邸，明城墙位于西安市中心区，呈长方形。以钟鼓楼为中心围绕西安一周，周长是13.74公里。有城门四座：东长乐门，西安定门，南永宁门，北安远门，每个城门都由箭楼和城楼组成。特别安排赠送【含光门遗址博物馆】位于明城墙含光门段，内有唐代长安皇城城墙遗址。整个含光门遗址博物馆布局分为东大厅、中大厅和西大厅。含光门是外交之门，更是丝绸之路上的重要节点。之后前往游览【老菜场市井创意文化街区】打卡热门之地，夜西安“Top人气街”之一，是集市井气息和潮流时尚一体的文化创意街区，前身是创建于1952年的西安市平绒厂，利用原有的旧厂房改建成了集市井气息和潮流时尚一体的文化创意街区，里面有不少文创店铺，吸引大批年轻人前来打卡拍照。你能看见熙熙攘攘的人群，穿梭在街巷中，你还能看见风格迥异的酒吧，创意十足的民宿，彰显个性的涂鸦。这里随处可见的都是对生活的热爱。每个角落都充满烟火气和温暖。建国门的老菜场定义着烟火和潮流的交融。行走在老菜场市井烟火最深处，西安城墙景区与老菜场的联动游览，即可以顺城而下，品味美食，探索潮流，也可以在街巷最深处找寻市井烟火。可以在这里喝喝咖啡，拍拍照。后游览【书院门】是西安著名的古文化一条街，位于西安南门里，指的是从碑林到关中书院门口的一条步行街。书院门的地名起源于在它里面的关中书院。关中书院是明、清两代陕西的最高学府，也是全国四大著名书院之一，西北四大书院之冠。从南大街走到这条街上，忽然好像一下子安静了下来。路两边，高大的槐树后面，红漆格子门半开着，大大小小的湖笔从门檐上面垂下来，一条浸透墨香的路便向远方铺展开来约570多米，浓郁的古风扑面而来，两边鳞次栉比地集中了碑帖拓片、名人字画、印章印谱、文房四宝等一百多家店铺，在二三层雕栏楼阁上，挂着一色的黑底金字牌匾，书写着文萃阁、醉书轩、聚看斋、皓月宫等店名，刻尽儒雅祥瑞之言，再现了昔日的辉煌。这是一条让西安人自豪的文物书法之路，它的终点是三学街牌楼西。午餐后，独家赠送陕西歌舞大剧院观赏陕西戏曲非遗秦腔老腔演出（168元/人，赠送项目不看不退），该演出集结了秦腔、华阴老腔、皮影戏、碗碗腔、杖头木偶、戏曲技巧等非物质文化遗产。这场演出不仅是对陕西西安深厚民俗风情的体验，更是对中华民族“根”文化的传承与致敬。之后前往参观【长安十二时辰主题街区】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带你体验一秒入唐，真正做一回唐朝人，尽享唐风唐韵(如遇景区关闭或限流等情况下更换其他景点)。打卡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雁塔题名、开元盛世等13组大型文化群雕贯穿其中，在此可以邂逅美丽的不倒翁小姐姐、观赏美妙的盛唐歌舞、聆听潮流街区的最潮音乐，更可驻足观赏最具陕西特色的秦腔表演，街道两旁，各具特色的小摊应有尽有。温馨提醒:1、此天专门安排精美汉服唐装换装体验,请贵宾们爱惜使用;归还时如有严重破损,烦请按价赔偿,望悉知。2、因大唐不夜城街区特殊性，我社安排送回酒店统一等待时间为60分钟，如客人需要长时间游览，游览结束后需自行返回酒店，所产生返回酒店的交通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秦兵马俑博物院-《秦俑情》-华清宫-《长恨歌》（保首场）(汽车)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世界第八大奇迹之一的【秦兵马俑博物院】（约2小时，赠送景区耳麦；温馨提示：不含单程电瓶车5元/人）这里南倚骊山，北临渭水，气势宏伟，是世界上最大的地下军事博物馆，是世界考古历史上最伟大的发现之一。午餐后特别赠送观看大型史诗舞台剧《秦俑情》（价值298元/人，赠送项目不看不退），该演出融合了历史、文化与现代艺术表现手法，展现了秦朝的历史风貌与人文精神。演出通过恢弘的舞台场景与精致的服装设计，还原秦朝的壮丽景象。运用多媒体技术、灯光特效与震撼音效，赋予兵马俑“生命”，展现千年历史的厚重感。通过优美的舞蹈编排与戏剧表演，讲述秦朝将士的家国情怀与历史使命。不仅是一场视听盛宴，更是一次跨越千年的文化之旅，让观众在艺术中感受历史的温度与文明的辉煌。东线中餐重磅升级本社自有餐厅，品味美食文化盛宴--《一品六国宴》，美味可口的香酥鸡、肥而不腻的红烧肉、清新爽口的时蔬等，令人食指大动（如遇人流量饱和，则改为秦宴）游览位于骊山脚下的唐代皇家避暑行宫——【华清宫】（约1.5小时，赠送景区耳麦，景区交通20元/人自理，骊山索道往返60元/人自理），国家首批5A级旅游景区，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晚上尊享赠送观看大型山水历史舞剧《长恨歌》（价值339元/人，赠送项目不看不退）根据白居易的同名叙事长诗改编，由300多名专业演员身着华丽的唐服出演，用舞蹈展现诗中记叙的经典桥段：盛唐时期，唐明皇召杨玉环入宫，至爱至宠。安禄山叛乱后，杨玉环在马嵬坡被逼迫而死，明皇肝肠寸断，最终魂魄升天，与爱妃在月宫相会。(行程中所设长恨歌座位区域为东西区,如需升级座位，需补差价) 温馨提示：《长恨歌》演出须知1.《长恨歌》演出安排：以具体买到票的场次为准（具体时间随季节调整）行程中含的是东西区（如客人需升级座位补差价）2.《长恨歌》为商业演出，预定后不可退订。3.（座位须知）长恨歌预定系统下单自动锁定座位（无法调换），存在不连坐概率。4.由于《长恨歌》演出票资源紧张，如儿童超1.3M以上，务必报名时补演出票；不接受临时现补，望理解。温馨提醒：如遇《长恨歌》政策性关闭或因天气原因等不可抗力因素停演，则更换为“2024年春晚同款”的精彩演出《无界·长安》《无界长安》是中国首部大型驻场观念演出，由张艺谋总导演、沙晓岚担任总制作人，其创意团队以具有代表性的陕西非物质文化遗产为基底，以极富张力的舞台创意和前沿科技手段倾力打造。作品取义“志之所趋，无远弗届”，寓意打破时空界限，以“长安”为原点和美好祝愿，书写丝路新篇。由“和鸣、霓裳、影人、万象、长安、重圆、共生、传奇”八个不同风格、不同立意、不同维度的创意段落组成，取材最经典的非物质文化遗产，探寻最陕西的艺术表达路径，聚合最前沿的舞台科技手段，在碰撞、探索、交融中呈现“方寸舞台，时空无界，大幕起落，梦想无远”的意境与思考。2024年春晚不仅有《和鸣》中的秦腔和战鼓响彻开场，《长安》更是被直接搬上了春晚的舞台，现场呈现的交互视觉效果，同样让人惊喜，舞蹈演员用身体，摆出各式各样的面，交互和投影技术的运用，让不同空间的非遗面食表演，和舞蹈表演同框，更突出展现各地丰富多样的美食文化。让我们细细品味这场关于长安的“文化饕餮大餐”。【温馨提示】1、兵马俑和华清宫内设景区购物场所，非旅行社协议购物店，您可自由进出，如购物请谨慎！2、华清宫景区由华清宫和骊山景区组成，参观完华清宫景区后可视体力情况选择骊山的游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西安博物院、大慈恩寺、大雁塔北广场、回民街或永兴坊(飞机)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前往【西安博物院·小雁塔】（如遇周二闭馆或政策性限流，则需提前调整行程游览顺序或,含耳麦）小雁塔即“荐福寺塔”，位于西安城南荐福寺内，与大雁塔相距三公里。因低于大雁塔,故称“小雁塔”。玲珑秀丽的小雁塔与雄伟庄严的大雁塔风格迥异。这座密檐式砖塔略呈梭形，高43.38米，建造时共15级，现存13级。塔的底层最高，以上逐层递减，整体轮廓呈自然圆和的卷刹曲线。每层皆有迭涩出檐，檐下砌有两层菱角牙子，形成重檐密阁、飒爽秀丽的美感效果。底层南北各有券门，上部各层南北有券窗。门框上布满精美的唐代线刻。之后游览【大慈恩寺】(游览约2小时)拂尘净心，守望长安1300余年的大雁塔就坐落于此(如需登塔25元/人自理)。自唐代以来，文人墨客金榜题名加官进爵后，多到大慈恩寺礼佛。后来代代效仿,为求功成名就，提前祈愿，逐渐形成了雁塔题名祈福开运的风俗。漫步亚洲最大的音乐喷泉广场——【大雁塔广场】，在北广场可观赏“大型音乐喷泉”，在南广场鉴赏——“玄奘法师塑像”，寻觅取经路上的奇幻故事，唐玄奘法师当年译经所在地大雁塔近在眼前。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后前往【永兴坊】(游览时间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游览结束后送站返程，结束愉快之旅！ ——以上行程时间安排可能会因天气、路况等不可抗力因素，在不影响行程和接待标准的前提下，经全体游客协商同意后，进行游览顺序调整，敬请理解。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交通：全程正规营运手续空调旅游车（根据人数用车，保证每人一正座，婴幼儿必须占座）备注：5人以上成团安排优秀正规持证导游；5人以下（含5人）不提供专职导游服务，由司兼导进行服务住宿：严选西安网评4钻酒店，均默认为双人标准间：如产生单房差游客需另行付费用餐：3早2正餐，早餐为酒店赠送，按床位提供，不吃不退。正餐餐标25/人/正（由于地域不同及餐标所限，用餐多有不合口味之处，可自带佐餐咸菜、干粮、小吃、矿泉水等食品，请做好心理准备，多多谅解。）门票：含以上所列景点首道大门票【景区内的索道、环保车、电瓶车、园中园门票自理】旅行社购票需凭游客身份证实名登记，请配合导游出示身份证。持相应有效优惠证件，当地产生优惠门票，导游优惠折扣现退。导游：优秀中文导游服务，报价已含当地导游服务费保险：旅行社责任险（建议客人自行购买旅游意外险）儿童：儿童包含身高≤1.2米，只含车导餐。儿童不含，酒店早餐、床位、门票、观光车、电瓶车、索道费等。赠送项目如产生请按实际收费自理。景区内另行付费景点或娱乐项目，请根据喜好自愿选择费用不含：1、兵马俑景交5元/人、华清宫景交20元/人、骊山索道往返60元/人、大雁塔登塔25元/人2、游客在当地自愿参加的自费项目，及服务标准中未包含的其它项目。3、酒店内洗衣、理发、电话、传真、收费电视、饮品、烟酒等个人消费4、旅游人身意外保险及航空意外保险，建议您在报名时购买。5、因交通延阻、罢工、天气、飞机机器故障、航班取消或更改时间等不可抗力原因所引致的额外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0自费，0购物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16:28:09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