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中旺-刘洪</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刘洪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18308822687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陈伟民</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15198882525</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BJ-CGT06KN260711A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7-11全家总动员-北京环球6日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2026-07-16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3(2大1小)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2026-07-11  KN5502 昆明→北京 11:55-17:00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2026-07-16 KN5501 北京→昆明 15:25-20:1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1、朱家猛</w:t>
            </w:r>
          </w:p>
        </w:tc>
        <w:tc>
          <w:tcPr>
            <w:tcW w:w="2310" w:type="dxa"/>
            <w:vAlign w:val="center"/>
            <w:gridSpan w:val="2"/>
          </w:tcPr>
          <w:p>
            <w:pPr/>
            <w:r>
              <w:rPr>
                <w:lang w:val="zh-CN"/>
                <w:rFonts w:ascii="Times New Roman" w:hAnsi="Times New Roman" w:cs="Times New Roman"/>
                <w:sz w:val="20"/>
                <w:szCs w:val="20"/>
                <w:color w:val="000000"/>
              </w:rPr>
              <w:t>男</w:t>
            </w:r>
          </w:p>
        </w:tc>
        <w:tc>
          <w:tcPr>
            <w:tcW w:w="2310" w:type="dxa"/>
            <w:vAlign w:val="center"/>
          </w:tcPr>
          <w:p>
            <w:pPr/>
            <w:r>
              <w:rPr>
                <w:lang w:val="zh-CN"/>
                <w:rFonts w:ascii="Times New Roman" w:hAnsi="Times New Roman" w:cs="Times New Roman"/>
                <w:sz w:val="20"/>
                <w:szCs w:val="20"/>
                <w:color w:val="000000"/>
              </w:rPr>
              <w:t>57</w:t>
            </w:r>
          </w:p>
        </w:tc>
        <w:tc>
          <w:tcPr>
            <w:tcW w:w="2310" w:type="dxa"/>
            <w:vAlign w:val="center"/>
          </w:tcPr>
          <w:p>
            <w:pPr/>
            <w:r>
              <w:rPr>
                <w:lang w:val="zh-CN"/>
                <w:rFonts w:ascii="Times New Roman" w:hAnsi="Times New Roman" w:cs="Times New Roman"/>
                <w:sz w:val="20"/>
                <w:szCs w:val="20"/>
                <w:color w:val="000000"/>
              </w:rPr>
              <w:t>2、朱文青</w:t>
            </w:r>
          </w:p>
        </w:tc>
        <w:tc>
          <w:tcPr>
            <w:tcW w:w="2310" w:type="dxa"/>
            <w:vAlign w:val="center"/>
            <w:gridSpan w:val="2"/>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12</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5780.00</w:t>
            </w:r>
          </w:p>
        </w:tc>
        <w:tc>
          <w:tcPr>
            <w:tcW w:w="2310" w:type="dxa"/>
          </w:tcPr>
          <w:p>
            <w:pPr/>
            <w:r>
              <w:rPr>
                <w:lang w:val="zh-CN"/>
                <w:rFonts w:ascii="Times New Roman" w:hAnsi="Times New Roman" w:cs="Times New Roman"/>
                <w:sz w:val="20"/>
                <w:szCs w:val="20"/>
                <w:color w:val="000000"/>
              </w:rPr>
              <w:t>11560.00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小孩不占床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4780.00</w:t>
            </w:r>
          </w:p>
        </w:tc>
        <w:tc>
          <w:tcPr>
            <w:tcW w:w="2310" w:type="dxa"/>
          </w:tcPr>
          <w:p>
            <w:pPr/>
            <w:r>
              <w:rPr>
                <w:lang w:val="zh-CN"/>
                <w:rFonts w:ascii="Times New Roman" w:hAnsi="Times New Roman" w:cs="Times New Roman"/>
                <w:sz w:val="20"/>
                <w:szCs w:val="20"/>
                <w:color w:val="000000"/>
              </w:rPr>
              <w:t>4780.00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总金额：壹万陆仟叁佰肆拾元整</w:t>
            </w:r>
          </w:p>
        </w:tc>
        <w:tc>
          <w:tcPr>
            <w:tcW w:w="2310" w:type="dxa"/>
            <w:textDirection w:val="right"/>
            <w:gridSpan w:val="3"/>
          </w:tcPr>
          <w:p>
            <w:pPr/>
            <w:r>
              <w:rPr>
                <w:lang w:val="zh-CN"/>
                <w:rFonts w:ascii="Times New Roman" w:hAnsi="Times New Roman" w:cs="Times New Roman"/>
                <w:b/>
                <w:color w:val="FF0000"/>
              </w:rPr>
              <w:t>16340.00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2026/07/11</w:t>
            </w:r>
          </w:p>
        </w:tc>
        <w:tc>
          <w:tcPr>
            <w:tcW w:w="2310" w:type="dxa"/>
            <w:gridSpan w:val="7"/>
          </w:tcPr>
          <w:p>
            <w:pPr/>
            <w:r>
              <w:rPr>
                <w:lang w:val="zh-CN"/>
                <w:rFonts w:ascii="Times New Roman" w:hAnsi="Times New Roman" w:cs="Times New Roman"/>
                <w:b/>
                <w:color w:val="000000"/>
              </w:rPr>
              <w:t>昆明→北京/天津(飞机)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前往北京/天津，航班时间待定，我社接站人员会迎接您的到来，前往酒店休息。备注：入住酒店时，酒店均需收取一定押金，导游会代为支付，若损坏酒店物品丢失房卡等，需自行赔偿酒店损失，请您注意维护房间设施的完整，感谢您的配合。</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2026/07/12</w:t>
            </w:r>
          </w:p>
        </w:tc>
        <w:tc>
          <w:tcPr>
            <w:tcW w:w="2310" w:type="dxa"/>
            <w:gridSpan w:val="7"/>
          </w:tcPr>
          <w:p>
            <w:pPr/>
            <w:r>
              <w:rPr>
                <w:lang w:val="zh-CN"/>
                <w:rFonts w:ascii="Times New Roman" w:hAnsi="Times New Roman" w:cs="Times New Roman"/>
                <w:b/>
                <w:color w:val="000000"/>
              </w:rPr>
              <w:t>天安门广场→故宫→首博或军博→前门大街(巴士)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全世界最大的城市中心广场【天安门广场】；瞻仰【人民英雄纪念碑】，外景【人民大会堂】【国家大剧院】。游览全世界最大的宫殿建筑群【故宫博物院】（约2.5小时，特别赠送故宫耳麦）（周一闭馆，门票为预约制，如未预约上门票则改为参观恭王府或者补偿300元/人，旅行社不承担任何责任）深度游览故宫，打卡延禧宫。特别安排乘坐【观光铛铛车】，游览北京非常著名的商业街【前门大街】。位于京城中轴线，北起前门月亮湾，南至天桥路口，与天桥南大街相连，明嘉靖二十九年（1550）建外城前是皇帝出城赴天坛、山川坛的御路，建外城后为外城主要南北街道。这里有非常多北京著名胡同，包括大栅栏，鲜鱼口，还有很多非常知名的老北京美食，天兴居，爆肚冯，都一处，东来顺，晚餐客人可以自行在胡同里寻找自己喜欢的美食，大快朵颐。前往北京最重要的文物收藏中心【首都博物馆】或者【军事博物馆】（如预约不上，替换成北京规划馆或其他博物馆或补偿100元/人），首都博物馆是中国最高等级的博物馆之一，首都北京几百年历史遗留下的皇家珍贵文物尽藏于此，让我们沉静内心，走在缤纷的国宝中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2026/07/13</w:t>
            </w:r>
          </w:p>
        </w:tc>
        <w:tc>
          <w:tcPr>
            <w:tcW w:w="2310" w:type="dxa"/>
            <w:gridSpan w:val="7"/>
          </w:tcPr>
          <w:p>
            <w:pPr/>
            <w:r>
              <w:rPr>
                <w:lang w:val="zh-CN"/>
                <w:rFonts w:ascii="Times New Roman" w:hAnsi="Times New Roman" w:cs="Times New Roman"/>
                <w:b/>
                <w:color w:val="000000"/>
              </w:rPr>
              <w:t>升旗→八达岭长城→飞跃长城→中国科技馆→鸟巢水立(巴士)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上早起床，观庄严的【天安门升旗仪式】（因起床时间较早，根据游客自身情况，少数服从多数参观），后前往游览燕京八景之首居庸叠翠的【八达岭长城】（约2小时)体会“不到长城非好汉”的伟人气魄。之后前往6D高科技参与项目【飞跃长城】乘坐特制的推出式六自由度座椅经过PLC的编程控制和Maya的曲线校正，与座椅、影片及飞行体验完美结合。为观众带来飞速的上升、俯冲、左右闪躲、震动等丰富的动感体验。过程中那急速下降的失重感，快速穿梭在峡谷深渊中的刺激感，能让游客体验到无以伦比的凌空飞行感受。前往【中国科技馆】（门票实行预约制，提前一周约票，如预约不上替换成国家动物博物馆或补偿100元/人）以科学教育为主要功能，通过科学性、知识性、互动性相结合的展览展品和参与体验式的教育活动，反映科学原理及技术应用，鼓励公众探索实践，不仅普及科学知识，而且注重传播科学思想、科学方法和科学精神。在开展基于展览的教育活动同时，还组织各种科学实践和培训实验，让观众通过亲身参与，加深对科学与技术的理解和感悟，激发对科学的兴趣和好奇心，在潜移默化中提高科学素质。之后前往【鸟巢】【水立方】外景，以此为背景拍照留念，零距离体验2008激情、奥运情怀。晚餐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早餐：含；午餐：含；晚餐：不含；住宿：北京</w:t>
            </w:r>
          </w:p>
        </w:tc>
      </w:tr>
      <w:tr>
        <w:tc>
          <w:tcPr>
            <w:tcW w:w="2310" w:type="dxa"/>
            <w:vAlign w:val="center"/>
            <w:vMerge w:val="restart"/>
          </w:tcPr>
          <w:p>
            <w:pPr/>
            <w:r>
              <w:rPr>
                <w:lang w:val="zh-CN"/>
                <w:rFonts w:ascii="Times New Roman" w:hAnsi="Times New Roman" w:cs="Times New Roman"/>
                <w:sz w:val="20"/>
                <w:szCs w:val="20"/>
                <w:color w:val="000000"/>
              </w:rPr>
              <w:t>2026/07/14</w:t>
            </w:r>
          </w:p>
        </w:tc>
        <w:tc>
          <w:tcPr>
            <w:tcW w:w="2310" w:type="dxa"/>
            <w:gridSpan w:val="7"/>
          </w:tcPr>
          <w:p>
            <w:pPr/>
            <w:r>
              <w:rPr>
                <w:lang w:val="zh-CN"/>
                <w:rFonts w:ascii="Times New Roman" w:hAnsi="Times New Roman" w:cs="Times New Roman"/>
                <w:b/>
                <w:color w:val="000000"/>
              </w:rPr>
              <w:t>天坛（通票）→颐和园→学霸互动课程→北京外国语大学(巴士)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天坛公园】（含通票）天坛公园是世界最大的皇家祭祀建筑群，占地面积273公顷，明清两朝24位皇帝曾在此祭天，天坛公园的建筑不同于北京其他皇家建筑，主体都是呈现内圆外方的建筑格局，代表天圆地方，建筑颜色以蓝色为主，代表天的颜色，也是唯一一个等级高过故宫的皇家建筑。前往游览中国现存规模最大、保护最完整的皇家园林【颐和园】，晚清时期作为慈禧太后的颐养之地（约2小时），外观【清华大学】门口拍照留念（不入内）。特别安排【清北学霸面对面互动课程】：分享高效学习法、成长逆袭故事、备考避坑指南，现场答疑解惑。参观【北京外国语大学】（若遇校园临时关闭、政策管控等情况无法入校参观，将调换参观其他知名高校。），被誉为共和国外交官摇篮，是中国外语教育的最高学府，开设101种外语，覆盖全球主要语种，国际氛围浓厚。近距离感受顶尖外语学府的学术氛围与国际化视野。激发语言学习兴趣，树立外交、国际文化交流方向的成长目标。</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早餐：含；午餐：含；晚餐：含；住宿：天津</w:t>
            </w:r>
          </w:p>
        </w:tc>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B套餐：环球影视城一日游(巴士)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北京环球主题公园】（又名北京环球影城主题公园）北京环球度假区七大主题景区分别为：功夫熊猫盖世之地、变形金刚基地、小黄人乐园、哈利·波特的魔法世界、侏罗纪世界努布拉岛、好莱坞、未来水世界（环球主题公园是美国环球电影公司旗下的大型主题公园，和迪斯尼主题乐园并称为世界娱乐主题乐园两大巨头。北京环球主题公园项目落地后，将是全球第5个开建的环球主题公园，也是国内首个环球主题公园）备注：入园当天中餐、晚餐自理，乐园内非常方便可购买到可口的快餐、小吃。游玩结束后，可根据我社通知时间至指定集合地点乘坐指定车辆返回或自行返回酒店。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早餐：含；午餐：不含；晚餐：不含；住宿：天津</w:t>
            </w:r>
          </w:p>
        </w:tc>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天津/北京→昆明(飞机)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早餐后送机场返回昆明，结束愉快的北京天津旅行！！！</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早餐：含；午餐：不含；晚餐：不含；住宿：无</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标准：全程指定入住3晚假日酒店或环球度假区美仑酒店或环球度假区美居酒店+2晚天津希尔顿欢朋酒店，全程单房差费用自理。因酒店满房、不可抗力、班期调整等客观原因无法安排原定住宿时，旅行社将调整安排同等级别备选酒店入住。2、交通：昆明-北京/天津，往返飞机经济舱机票，当地空调旅游车。3、餐饮标准：行程所列5早4正，早餐酒店含，全程酒店自助早（由于出发时间或者客人自动放弃不用不退），全程社会餐厅用餐，餐标：30-60元不等；紫光园烤鸭+北京小吃+老边饺子宴+老门框爆肚涮肉+北京自助餐；【温馨提示】天津一日游行程含中餐及晚餐。若实际参团人数过少，导致无法正常安排集体用餐，旅行社将退还未发生餐食的对应费用，不另行赔付。4、门票服务：行程内所列各景点首道大门票（全程不退任何优免门票，敬请知悉）。5、导游服务：北京地接导游服务。6、儿童报价：仅含往返机票，全程半餐车，导服，不占床。含票行程请参照图片价格，如需占床需补单房差。</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1、购物说明：全程0购物0车销0麻花；2、自费说明：全程0自费；</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1、门票说明：本行程及报价均按景区优惠门票统一核算，所有人群及各类证件无二次优惠、无差价退费。行程所含故宫博物院、军事博物馆、中国科技馆等景点，均实行实名限量预约制度，需提前10天提交游客完整实名信息。如因景区预约名额已满，导致景点无法正常游览，将按以下方案进行景点置换或费用补偿：①故宫博物院：无法正常游览可更换为恭王府游览，或每人补偿300元；②首都博物馆或军事博物馆：可调换至北京规划展览馆等同级别可预约博物馆，或每人补偿100元；③中国科技馆：可调换至国家动物博物馆等同级别博物馆，或每人补偿100元。注：因场馆预约管控、名额受限等客观政策因素导致行程调整，属于不可控客观情况，旅行社不承担违约责任。2、行程说明：由于航班存在的不确定性及门票预约的不确定性，行程、景点游览顺序、游览时间仅供参考，具体以实际游览景区及顺序为准，我社有权在保证行程景点不变的情况下（景区关闭及门票未能约上，及不可抗力因素除外）对行程游览顺序予以调整，敬请谅解！3、参团须知：（1）出团时成人务必携带有效期内身份证原件，儿童务必携带户口本原件。民航系统实行改名限制，个人信息输入定座系统后无法更改，所以请游客确保提供的名字和身份证号码准确无误，若因游客提供的信息错误造成的损失，需由游客自行承担。（2）因不可抗力（包含但不仅限于自然灾害、政府政策因素等）造成游客行程变更，旅行社有权根据实际情况对行程予以调整。因此而增加的食宿及个人费用，由游客承担。（3）外出旅游，安全第一，旅游途中请听从导游人员安排，配合司机、导游工作。团友之间相互关照，少数服从多数。自由活动时，请注意人身及财产安全。（4）如果您对接待持有异议并有投诉意向，请于第一时间告知旅行社人员，争取能及时解决您的问题；同时意见反馈表作为旅行社处理投诉的重要依据，请务必认真填写并真实体现您的宝贵意见。（5）由于旅游行业特殊性，不同时段、地区、人数等因素报名，均可能导致价格差异，属于正常市场行为。为维护旅行社与游客的合法权益，旅行社建议游客在签订合同之前，在市场中多方对比价格，一旦签订合同即代表认可旅行社价格，旅行社不受理因同团价格不一致产生的投诉。特此申明，敬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刘洪</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陈伟民</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2026/7/6 17:38:09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