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程美琳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程美琳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13381023852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HDQ-XLY20250718A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7-18 AI少年闯魔都 华东研学双飞6日夏令营（六小龙）</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1、李昕忆</w:t>
            </w:r>
          </w:p>
        </w:tc>
        <w:tc>
          <w:tcPr>
            <w:tcW w:w="2310" w:type="dxa"/>
            <w:vAlign w:val="center"/>
            <w:gridSpan w:val="2"/>
          </w:tcPr>
          <w:p>
            <w:pPr/>
            <w:r>
              <w:rPr>
                <w:lang w:val="zh-CN"/>
                <w:rFonts w:ascii="Times New Roman" w:hAnsi="Times New Roman" w:cs="Times New Roman"/>
                <w:sz w:val="20"/>
                <w:szCs w:val="20"/>
                <w:color w:val="000000"/>
              </w:rPr>
              <w:t>512021201108163966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2、李英绮</w:t>
            </w:r>
          </w:p>
        </w:tc>
        <w:tc>
          <w:tcPr>
            <w:tcW w:w="2310" w:type="dxa"/>
            <w:vAlign w:val="center"/>
            <w:gridSpan w:val="2"/>
          </w:tcPr>
          <w:p>
            <w:pPr/>
            <w:r>
              <w:rPr>
                <w:lang w:val="zh-CN"/>
                <w:rFonts w:ascii="Times New Roman" w:hAnsi="Times New Roman" w:cs="Times New Roman"/>
                <w:sz w:val="20"/>
                <w:szCs w:val="20"/>
                <w:color w:val="000000"/>
              </w:rPr>
              <w:t>530112201105105120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5780.00</w:t>
            </w:r>
          </w:p>
        </w:tc>
        <w:tc>
          <w:tcPr>
            <w:tcW w:w="2310" w:type="dxa"/>
          </w:tcPr>
          <w:p>
            <w:pPr/>
            <w:r>
              <w:rPr>
                <w:lang w:val="zh-CN"/>
                <w:rFonts w:ascii="Times New Roman" w:hAnsi="Times New Roman" w:cs="Times New Roman"/>
                <w:sz w:val="20"/>
                <w:szCs w:val="20"/>
                <w:color w:val="000000"/>
              </w:rPr>
              <w:t>11560.00</w:t>
            </w:r>
          </w:p>
        </w:tc>
        <w:tc>
          <w:tcPr>
            <w:tcW w:w="2310" w:type="dxa"/>
            <w:gridSpan w:val="2"/>
          </w:tcPr>
          <w:p>
            <w:pPr/>
            <w:r>
              <w:rPr>
                <w:lang w:val="zh-CN"/>
                <w:rFonts w:ascii="Times New Roman" w:hAnsi="Times New Roman" w:cs="Times New Roman"/>
                <w:sz w:val="20"/>
                <w:szCs w:val="20"/>
                <w:color w:val="000000"/>
              </w:rPr>
              <w:t>6680-900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总金额：壹万壹仟伍佰陆拾元整</w:t>
            </w:r>
          </w:p>
        </w:tc>
        <w:tc>
          <w:tcPr>
            <w:tcW w:w="2310" w:type="dxa"/>
            <w:textDirection w:val="right"/>
            <w:gridSpan w:val="3"/>
          </w:tcPr>
          <w:p>
            <w:pPr/>
            <w:r>
              <w:rPr>
                <w:lang w:val="zh-CN"/>
                <w:rFonts w:ascii="Times New Roman" w:hAnsi="Times New Roman" w:cs="Times New Roman"/>
                <w:b/>
                <w:color w:val="FF0000"/>
              </w:rPr>
              <w:t>11560.00</w:t>
            </w:r>
          </w:p>
        </w:tc>
      </w:tr>
      <w:tr>
        <w:tc>
          <w:tcPr>
            <w:tcW w:w="2310" w:type="dxa"/>
            <w:gridSpan w:val="8"/>
          </w:tcPr>
          <w:p>
            <w:pPr/>
            <w:r>
              <w:rPr>
                <w:lang w:val="zh-CN"/>
                <w:rFonts w:ascii="Times New Roman" w:hAnsi="Times New Roman" w:cs="Times New Roman"/>
                <w:sz w:val="20"/>
                <w:szCs w:val="20"/>
                <w:color w:val="000000"/>
              </w:rPr>
              <w:t>全季合同保险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昆明→上海→中华艺术宫(含清明上河图)→外滩→南京路→金茂大厦(飞机)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乘机前往上海。接站后，游览【上海中华艺术宫】（入内）（含清明上河图）建筑总体采用不对称平衡结构，体现和谐、稳定之意，中华艺术官拥有1.4万件馆藏品，中华艺术宫的艺术品分类由国画、油画、书法、版画、雕塑、皮影等组成。【南京路步行街】（游览时间约1小时）步行街位于上海市黄浦区，西起西藏中路，东至河南中路，被誉为中华第→街。后游览浦东陆家嘴金融区，观东方明珠塔外景、金茂大厦外景、环球金融中心外景。游览“万国博物馆”之称的【外滩风光带】（游览约1小时）外滩东面西临黄浦江，西面为哥特式、罗马式、巴洛克式、中西合壁式等52幢风格各异的大楼。  登【金茂大厦】，俯瞰上海美景。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上海→同里评弹+苏州园林【留园】→秦淮河→住南京航空航天大学(巴士)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集古镇水乡园林为→体的国家5A级景区【同里古镇】属于江苏省苏州市吴江区，宋代建镇。镇区内始建于明清两代的花园、寺观、宅第和名人故居众多，“川”字形的15条小河把古镇区分隔成七个小岛，而49座古桥又将其连成→体，以“小桥、流水、人家”著称。  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特别安排【评弹】，学习吴侬软语，体会江南水乡的温情。 游览世界文化遗产5A级景区【留园】，留园与苏州拙政园、北京颐和园、承德避暑山庄并称中国四大名园之→，江南园林甲天下，苏州园林甲江南。留园以独创→格、收放自然的精湛建筑艺术而享有盛名。观赏留园三绝：太湖石中绝品，齐集太湖石“瘦、皱、漏、透”四奇于→身的——冠云峰；地位非比寻常的楠木殿（即五峰仙馆）；天然的大理石画“雨过天晴图”。游集南京六朝文化和民俗市肆文化于→身的【秦淮河】【夫子庙】（游览时间约1.5小时），秦淮河风光带，游文德桥，乌衣巷，神州第→大照壁，感受“十里秦淮千年流淌，六朝胜地今更辉煌”，自费品尝南京小吃如：鸭血粉丝、赤豆元宵、鸭油烧饼，盐水鸭蜜汁藕等。特别安排一晚南京航天航空大学宿舍，如遇南航学校举办活动预约不到同等替换到南理工大学或南京其他大学的住宿，单房差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早餐：含；午餐：含；晚餐：含；住宿：南京航天航空大学或南京其他大学宿舍</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南京航空航天大学研学:南航固定要飞机飞行原理+航模组装试飞→杭州西湖(含接驳车)→船游西湖→杭州城市阳台钱塘江夜景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航空顶流【南京航天航空大学】，作为国防七子之一，作为中国航空航天领域的顶尖学府之一，以“航空航天，报国为民”为使命，在建设国之重器、培养国防科工总师方面，却丝毫不亚于C9院校，培养了无数航空航天领域的精英人才。走进南航，不仅是一次探索尖端科技的旅程，更是一场激发科学梦想与家国情怀的研学之旅。在这里，我们将感受中国航空航天事业的辉煌历史，体会科技创新的无穷魅力，汲取不断向前的奋斗力量。研学参观体验实施方案：漫步校园，仿佛踏入时空交错的航天世界。砚湖的粼(粼波光映照着学术殿堂的宁静,美术馆的艺术气息与航空航天的科技感奇妙交融。每一处角落都藏着惊喜,等待你化身“航天探险家”,在寻找“神秘飞天神器”的过程中,解锁南航校园独有的航天密码。1、研学内容漫步校园，感受校园氛围，体验校园生活。航模组装试飞固定翼飞机飞行原理航空航天科普课程2、体验要点 从“原理一设计一实践”全流程理解航空航天技术的系统性,激发科学兴趣与好奇心,培养科学精神与家国情怀,传递航空航天知识培养孩子们的科学思维与实践能力，为未来深入学习相关领域奠定基础。漫步【西湖景区】（含船游西湖+接驳车），游览曲院风荷,西湖十景之→，著名赏荷胜地等，苏堤春晓（西湖十景之→，移步换景，近距离颀赏西湖，如需乘坐游船，费用自理。车游钱塘江风光，观六和塔外景，观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早餐：含；午餐：含；晚餐：含；住宿：入住杭州网评携程三钻酒店</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杭州六小龙研学：:六小龙展览+科技π梦想秀+科技创意课程(巴士)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春节期间，Deepseek和宇树机器人的出圈爆火，让大众的目光聚集在了一座城市：杭州。而当我们深入了解这座城市，发掘了一批更让人惊讶的以“六小龙”为代表的科技企业，他们在人工智能、增强现实、游戏开发、脑机接口和人形机器人技术等领域，取得了突破性进展成为了全球科技创新的重要力量，也被称为“神秘的东方力量”。在科技互动体验区与云深处机器狗互动，宇树机器狗握手，强脑科技脑电波挑战赛，黑神话悟空合影……3D打印工坊，VR/AR奇幻世界，深度感受科技改变生活杭州六小龙指的是位于杭州的六家科技公司，他们的行业成就主要是：宇数科技：机器人机器狗游戏科学：中国首个3A大作《黑神话悟空》深度求索：Deepseek探索未至之境。强脑科技：专注于非侵入脑机接口技术的研发和应用，群核科技：全球领先的云设计及软件，全球最大的室内场景认知深度学习数据集，云深处科技：智能足式机器人山猫机器狗，六小龙科技展览+科技梦想秀演艺+科技实验课程课程特点：科技十足：充分展现中国硅谷数字杭州的科技实力与窗口；强互动性：从脑波游戏到AR剧情，从机器狗到黑神话，从科技创新到科学实验，全程互动参与；跨界融合：科技硬核展示+艺术感染力，打破传统科普形式，让观众看得着摸得到；社交传播：设置“科技金句墙”直播弹幕，线上观众可远程互动；知识性强：在玩中学学中玩，遨游知识海洋，种下科技梦想；Part1杭州六小龙科技展：专业讲解+互动体验+学习交流；Part2：科技π梦想秀：在“科技梦想秀”的舞台上，老师们用高大上的科技产品和生动的实验和有趣的互动，将先进的科技产品体验和深奥的科学知识变得鲜活起来无人机编队灯光秀，机器狗狮子舞，黑神话悟空秀，C919航模飞行液氮大爆炸、粉尘爆炸、空气炮……以“科学即魔法”为核心概念，通过一系列充满趣味的实验，魔术表演与科学原理的完美结合，引导学生深入探索物理、化学、光学等领魔核心知识，在这个过程中，学生们将培养出，敏锐的观察力、精湛的动手能力和严谨的科学思维。每一个科学实验都让孩子们惊叹不已，掌声连连。Part3科技创意课程机器狗挑战赛（宇树科技，作为全球知名的机器人研发与生产企业，其先进的技术和创新的产品一直备受瞩目，走进这家科技前沿的企业，近距离感受机器人的魅力）+宇树机器狗大闯关（挑战现场组装并且操控机器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早餐：含；午餐：含；晚餐：含；住宿：入住上海网评携程三钻酒店</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迪士尼一日游(巴士)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复旦大学入内参观→上海天文馆→昆明(飞机)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复旦大学】（不指定校区，以实际预约校区为准！），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  前往参观世界规模最大的天文馆【上海天文馆】（门票为预约制，如预约不上将退还门票取消参观或替换成其他可参观的博物馆，旅行社不承担责任），主展区包括“家园”“宇宙”“征程”等三个部分，全景展现宇宙浩瀚图景，打造多感官探索之旅，帮助观众塑造完整的宇宙观。全方位、高精尖的科技展馆，全景展现宇宙浩瀚团，打造多感官探索之旅，带领你一起徜徉于科技的星辰与大海中。学习天文知识，深化科学理解；根据航班时间送机，前往昆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费用包含：1、住宿标准：入住网评携程三钻酒店住宿，特别安排一晚南京航天航空大学宿舍，如遇南航学校举办活动预约不到 同等替换到南理工大学的住宿，单房差费用自理。2、大交通：昆明上海往返机票，当地空调旅游巴士，保证→人→正座。3、餐饮标准：行程所列5早10正，早餐酒店含，正餐餐标：30元/人；八菜→汤，十人→桌，酒水自理，不足10人菜量种类相应减少。4、门票服务：包含行程所列景点门票及研学材料。5、导游服务：地接导游+带队老师服务；6、为每位营员投意外伤害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照片：出发前带队老师组建家长交流群，通知出行注意事项，活动期间老师也会在群内向家长发送孩子活照片、视频、分享动态、由于活动中老师以孩子安全和活动流程为主,活动期间发送少量照片视频,每天晚上会在群内发送当天的美照,请家长不要着急。2、健康：备有常用药品,可处理一般意外擦伤及防暑解暑,严重者视情况及时送医。出行前,要求家长务必确保孩子身健康,无传染病等特殊病症。3、通讯：活动不建议带智能手机等电子产品,可带一个通话功能手表。如携带手机,晚上9点后由老师代为管理。夏令营期间,晚上安排孩子与家长通话,白天希望能给孩子一个独的环境。4、饮食：保证学生饮食健康、营养搭配;出行自带水杯,活动提供充足用水。5、安全：活动为每名学员购买投保意外保险;活动采用大巴包车,大巴租赁为长期合作单位;活动中,必要项目配有安全救护设备。6、突发：因交通、天气等原因造成活动无法照常进行,在保证活动安全和质量的情况下,共同商议调整活动项目或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程美琳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17:22:19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