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自由组团人-欧阳吉礼</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欧阳吉礼</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159 2523 7783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BJX06BH250804A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0804北京一地6天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6(5大1小)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1、许有翠</w:t>
            </w:r>
          </w:p>
        </w:tc>
        <w:tc>
          <w:tcPr>
            <w:tcW w:w="2310" w:type="dxa"/>
            <w:vAlign w:val="center"/>
            <w:gridSpan w:val="2"/>
          </w:tcPr>
          <w:p>
            <w:pPr/>
            <w:r>
              <w:rPr>
                <w:lang w:val="zh-CN"/>
                <w:rFonts w:ascii="Times New Roman" w:hAnsi="Times New Roman" w:cs="Times New Roman"/>
                <w:sz w:val="20"/>
                <w:szCs w:val="20"/>
                <w:color w:val="000000"/>
              </w:rPr>
              <w:t>533023195806084527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2、赵国院</w:t>
            </w:r>
          </w:p>
        </w:tc>
        <w:tc>
          <w:tcPr>
            <w:tcW w:w="2310" w:type="dxa"/>
            <w:vAlign w:val="center"/>
            <w:gridSpan w:val="2"/>
          </w:tcPr>
          <w:p>
            <w:pPr/>
            <w:r>
              <w:rPr>
                <w:lang w:val="zh-CN"/>
                <w:rFonts w:ascii="Times New Roman" w:hAnsi="Times New Roman" w:cs="Times New Roman"/>
                <w:sz w:val="20"/>
                <w:szCs w:val="20"/>
                <w:color w:val="000000"/>
              </w:rPr>
              <w:t>533023195303064532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3、许有珍</w:t>
            </w:r>
          </w:p>
        </w:tc>
        <w:tc>
          <w:tcPr>
            <w:tcW w:w="2310" w:type="dxa"/>
            <w:vAlign w:val="center"/>
            <w:gridSpan w:val="2"/>
          </w:tcPr>
          <w:p>
            <w:pPr/>
            <w:r>
              <w:rPr>
                <w:lang w:val="zh-CN"/>
                <w:rFonts w:ascii="Times New Roman" w:hAnsi="Times New Roman" w:cs="Times New Roman"/>
                <w:sz w:val="20"/>
                <w:szCs w:val="20"/>
                <w:color w:val="000000"/>
              </w:rPr>
              <w:t>533023196411244527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4、赵聪</w:t>
            </w:r>
          </w:p>
        </w:tc>
        <w:tc>
          <w:tcPr>
            <w:tcW w:w="2310" w:type="dxa"/>
            <w:vAlign w:val="center"/>
            <w:gridSpan w:val="2"/>
          </w:tcPr>
          <w:p>
            <w:pPr/>
            <w:r>
              <w:rPr>
                <w:lang w:val="zh-CN"/>
                <w:rFonts w:ascii="Times New Roman" w:hAnsi="Times New Roman" w:cs="Times New Roman"/>
                <w:sz w:val="20"/>
                <w:szCs w:val="20"/>
                <w:color w:val="000000"/>
              </w:rPr>
              <w:t>533023198208204529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5、赵娜</w:t>
            </w:r>
          </w:p>
        </w:tc>
        <w:tc>
          <w:tcPr>
            <w:tcW w:w="2310" w:type="dxa"/>
            <w:vAlign w:val="center"/>
            <w:gridSpan w:val="2"/>
          </w:tcPr>
          <w:p>
            <w:pPr/>
            <w:r>
              <w:rPr>
                <w:lang w:val="zh-CN"/>
                <w:rFonts w:ascii="Times New Roman" w:hAnsi="Times New Roman" w:cs="Times New Roman"/>
                <w:sz w:val="20"/>
                <w:szCs w:val="20"/>
                <w:color w:val="000000"/>
              </w:rPr>
              <w:t>533023198511134527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6、宝梓溪</w:t>
            </w:r>
          </w:p>
        </w:tc>
        <w:tc>
          <w:tcPr>
            <w:tcW w:w="2310" w:type="dxa"/>
            <w:vAlign w:val="center"/>
            <w:gridSpan w:val="2"/>
          </w:tcPr>
          <w:p>
            <w:pPr/>
            <w:r>
              <w:rPr>
                <w:lang w:val="zh-CN"/>
                <w:rFonts w:ascii="Times New Roman" w:hAnsi="Times New Roman" w:cs="Times New Roman"/>
                <w:sz w:val="20"/>
                <w:szCs w:val="20"/>
                <w:color w:val="000000"/>
              </w:rPr>
              <w:t>530581201808214125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17000.00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1900.00</w:t>
            </w:r>
          </w:p>
        </w:tc>
        <w:tc>
          <w:tcPr>
            <w:tcW w:w="2310" w:type="dxa"/>
          </w:tcPr>
          <w:p>
            <w:pPr/>
            <w:r>
              <w:rPr>
                <w:lang w:val="zh-CN"/>
                <w:rFonts w:ascii="Times New Roman" w:hAnsi="Times New Roman" w:cs="Times New Roman"/>
                <w:sz w:val="20"/>
                <w:szCs w:val="20"/>
                <w:color w:val="000000"/>
              </w:rPr>
              <w:t>1900.00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总金额：壹万捌仟玖佰元整</w:t>
            </w:r>
          </w:p>
        </w:tc>
        <w:tc>
          <w:tcPr>
            <w:tcW w:w="2310" w:type="dxa"/>
            <w:textDirection w:val="right"/>
            <w:gridSpan w:val="3"/>
          </w:tcPr>
          <w:p>
            <w:pPr/>
            <w:r>
              <w:rPr>
                <w:lang w:val="zh-CN"/>
                <w:rFonts w:ascii="Times New Roman" w:hAnsi="Times New Roman" w:cs="Times New Roman"/>
                <w:b/>
                <w:color w:val="FF0000"/>
              </w:rPr>
              <w:t>18900.00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昆明/北京(自理)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 ，航班时间待定 ，我社接站人员会迎接您的到来 ，抵达后入住酒店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颐和园-圆明园-军博(7 座司机兼导)</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 ，晚清时期作为慈禧太后的颐养之地（约2小时） 随后前往参观【圆明园遗址公园】（首道）（约90分钟） ：清朝最鼎盛康熙雍正乾隆三位皇帝举全国之力修建的最奢华   皇家园林 ，虽然经过八国联军战火洗礼仍然能看到古老中国的文化的最高水平体现。前往【中国人民革命军事博  物馆】（如预约不上 ，替换成首都博物馆或其他博物馆； ） 中国唯一的大型综合性军事历史博物馆 ， 占地面积8万多平方  米 ，建筑面积6万多平方米 ， 陈列面积4万多平方米。主楼高94.7米 ， 中央7层 ，两侧4层。截止至2012年末 ，全馆   有22个陈列厅、2个陈列广场。军博收藏34万多件文物和藏品。其中国家一级文物1793件 ，大型武器装备250余件 ， 艺术品1600余件 ，对外军事交往中受赠礼品2551件。其中有铜鎏金弩机、镇远舰铁锚、 叶挺指挥刀、三八式步枪和解   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早餐：酒店赠送，不占床不含早餐；午餐：不含；晚餐：不含；住宿：北京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八达岭长城→鸟巢水立方-科技馆-清华入内(7 座司机兼导)</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早上约4:00分前往游览燕京八景之首居庸叠翠的【八达岭长城】（约2小时)体会“不到长城非好汉”的伟人气魄。之后前往【鸟巢】【水立方】外景，以此为背景拍照留念，零距离体验2008激情、奥运情怀 ，前往【中  国科技馆】 以科学教育为主要功能 ，通过科学性、知识性、互动性相结合的展览展品和参与体验式的教育活动 ，反映科学  原理及技术应用 ，鼓励公众探索实践 ，不仅普及科学知识 ，而且注重传播科学思想、科学方法和科学精神。在开展基于展  览的教育活动同时 ，还组织各种科学实践和培训实验 ，让观众通过亲身参与 ，加深对科学与技术的理解和感悟 ，激发对科  学的兴趣和好奇心 ，在潜移默化中提高科学素质。【中国科学技术馆】（北京景点门票为预约制，如未预约上门票则观外景，旅行社不   承担责任）（  约1.5小时）设有"科学乐园"、"华夏之光"、"探索与发现"、"科技与生活"、"挑战与未来"五大主题展厅、公共空间展示区及球幕影院、巨幕影院、动感影院、4D影院等4个特效影院 ，其中球幕影院兼具穹幕电影放映和天 象演示两种功能。游览【清华大学入内】自行参观。（（视学校开放政策安排入内参观，预约不上则取消参观）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早餐：酒店赠送，儿童不占床不含早餐；午餐：不含；晚餐：不含；住宿：北京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升旗-毛纪-故宫-国博(7 座司机兼导)</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，前往游览全世界最大的城市中心广场【天安门广场】 ；参观【毛主席纪念堂】（周一闭馆 ，如遇政策性关闭  观外景 ，毛主席纪念堂门票为预约制 ，如未预约上门票则观外景 ，旅行社不承担任何责任） ；瞻仰【人民英雄纪念碑】 ，  外景【人民大会堂】【国家大剧院】 。游览全世界最大的宫殿建筑群【故宫博物院】（约2.5小时）（周一闭馆 ， 门票为  预约制，如未预约上门票则改为参观恭王府或者退还门票60元/人，旅行社不承担任何责任）深度游览故宫，打卡延禧宫。 后乘坐【观光铛铛车】前往前门大街 ，沿途了解老北京城区布局以及老城区风光。前往【中国国家博物馆】世界上单体建筑面积最大的博物馆 ，是中华文物收藏量最丰富的博物馆之一 ，有展厅数量    48个，最大的2000平方米，最小的近800平方米（如遇预约限制则变更为其他博物馆，旅行社不承担任何责任）。游览北京非常著名的商业街【前门大街】 。位于京城中轴线 ，北起前门月亮湾 ，南至天桥路口 ，与天桥南大街相连 ， 明嘉靖二十九年（1550）建外城前是皇帝出城赴天坛、山川坛的御路 ，建外城后为外城主要南北街道。这里有非常多北京 著名胡同 ，包括大栅栏 ，鲜鱼口 ，还有很多非常知名的老北京美食 ，天兴居 ，爆肚冯 ，都一处 ，东来顺 ， 晚餐客人可以自 行在胡同里寻找自己喜欢的美食 ，大快朵颐。后入住酒店。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天津一日游(7 座司机兼导)</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 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周一闭馆，如政策性闭馆则外观（约1小时），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天坛-北京→昆明(7 座司机兼导)</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自由活动，下午前往【天坛公园】（含通票）天坛公园 是世界最大的皇家祭祀建筑群 ， 占地面积273公顷 ， 明清两朝24位皇帝曾在此祭天 ，天坛公园的建筑不同于北京其他皇 家建筑 ，主体都是呈现内圆外方的建筑格局 ，代表天圆地方 ，建筑颜色以蓝色为主 ，代表天的颜色 ，也是唯一一个等级高 过故宫的皇家建筑。送机场返回昆明 ，结束愉快的北京天津旅行！！！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 昆明→北京往返大交通含税 ，不指定航班 ，以实际出票为准！ 当地7座旅游车 ，司机兼导游服务。餐饮标准：共5早 ，正餐自理3、酒店服务：3环内3钻酒店。儿童不占床不含早餐4、景点门票：行程内所列景点首道门票5、导游服务：无导游服务 ，提供司机兼导游服务。</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故宫博物院，毛纪，八达岭长城，颐和园，天坛公园，圆明园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欧阳吉礼</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2025/8/4 15:56:00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