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康辉李海权</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李海权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13888823833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0804毕业季复旦含自费含迪士尼6天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2025-08-09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1、李斌瑞</w:t>
            </w:r>
          </w:p>
        </w:tc>
        <w:tc>
          <w:tcPr>
            <w:tcW w:w="2310" w:type="dxa"/>
            <w:vAlign w:val="center"/>
            <w:gridSpan w:val="2"/>
          </w:tcPr>
          <w:p>
            <w:pPr/>
            <w:r>
              <w:rPr>
                <w:lang w:val="zh-CN"/>
                <w:rFonts w:ascii="Times New Roman" w:hAnsi="Times New Roman" w:cs="Times New Roman"/>
                <w:sz w:val="20"/>
                <w:szCs w:val="20"/>
                <w:color w:val="000000"/>
              </w:rPr>
              <w:t>530181198603113324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2、李柏毅</w:t>
            </w:r>
          </w:p>
        </w:tc>
        <w:tc>
          <w:tcPr>
            <w:tcW w:w="2310" w:type="dxa"/>
            <w:vAlign w:val="center"/>
            <w:gridSpan w:val="2"/>
          </w:tcPr>
          <w:p>
            <w:pPr/>
            <w:r>
              <w:rPr>
                <w:lang w:val="zh-CN"/>
                <w:rFonts w:ascii="Times New Roman" w:hAnsi="Times New Roman" w:cs="Times New Roman"/>
                <w:sz w:val="20"/>
                <w:szCs w:val="20"/>
                <w:color w:val="000000"/>
              </w:rPr>
              <w:t>53018120100310332X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3、李柏润</w:t>
            </w:r>
          </w:p>
        </w:tc>
        <w:tc>
          <w:tcPr>
            <w:tcW w:w="2310" w:type="dxa"/>
            <w:vAlign w:val="center"/>
            <w:gridSpan w:val="2"/>
          </w:tcPr>
          <w:p>
            <w:pPr/>
            <w:r>
              <w:rPr>
                <w:lang w:val="zh-CN"/>
                <w:rFonts w:ascii="Times New Roman" w:hAnsi="Times New Roman" w:cs="Times New Roman"/>
                <w:sz w:val="20"/>
                <w:szCs w:val="20"/>
                <w:color w:val="000000"/>
              </w:rPr>
              <w:t>530181201710183322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4、李小清</w:t>
            </w:r>
          </w:p>
        </w:tc>
        <w:tc>
          <w:tcPr>
            <w:tcW w:w="2310" w:type="dxa"/>
            <w:vAlign w:val="center"/>
            <w:gridSpan w:val="2"/>
          </w:tcPr>
          <w:p>
            <w:pPr/>
            <w:r>
              <w:rPr>
                <w:lang w:val="zh-CN"/>
                <w:rFonts w:ascii="Times New Roman" w:hAnsi="Times New Roman" w:cs="Times New Roman"/>
                <w:sz w:val="20"/>
                <w:szCs w:val="20"/>
                <w:color w:val="000000"/>
              </w:rPr>
              <w:t>530123197506092631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460.00</w:t>
            </w:r>
          </w:p>
        </w:tc>
        <w:tc>
          <w:tcPr>
            <w:tcW w:w="2310" w:type="dxa"/>
          </w:tcPr>
          <w:p>
            <w:pPr/>
            <w:r>
              <w:rPr>
                <w:lang w:val="zh-CN"/>
                <w:rFonts w:ascii="Times New Roman" w:hAnsi="Times New Roman" w:cs="Times New Roman"/>
                <w:sz w:val="20"/>
                <w:szCs w:val="20"/>
                <w:color w:val="000000"/>
              </w:rPr>
              <w:t>1840.00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总金额：壹仟捌佰肆拾元整</w:t>
            </w:r>
          </w:p>
        </w:tc>
        <w:tc>
          <w:tcPr>
            <w:tcW w:w="2310" w:type="dxa"/>
            <w:textDirection w:val="right"/>
            <w:gridSpan w:val="3"/>
          </w:tcPr>
          <w:p>
            <w:pPr/>
            <w:r>
              <w:rPr>
                <w:lang w:val="zh-CN"/>
                <w:rFonts w:ascii="Times New Roman" w:hAnsi="Times New Roman" w:cs="Times New Roman"/>
                <w:b/>
                <w:color w:val="FF0000"/>
              </w:rPr>
              <w:t>1840.00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李海权</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 15:58:37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