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云南全季旅行社有限公司团队/散客确认件</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自由组团人-袁会林</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袁会林</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云南全季旅行社有限公司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谭超群</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15912187764</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HDL06FJ260815A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0815华东江南之巅双飞6日</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2026-08-15</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2026-08-20</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3(3大)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2026-08-15 MU2716 昆明→南京 0800-1040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2026-08-20 KY8218 浦东→昆明  1745-210</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1、郑采依</w:t>
            </w:r>
          </w:p>
        </w:tc>
        <w:tc>
          <w:tcPr>
            <w:tcW w:w="2310" w:type="dxa"/>
            <w:vAlign w:val="center"/>
            <w:gridSpan w:val="2"/>
          </w:tcPr>
          <w:p>
            <w:pPr/>
            <w:r>
              <w:rPr>
                <w:lang w:val="zh-CN"/>
                <w:rFonts w:ascii="Times New Roman" w:hAnsi="Times New Roman" w:cs="Times New Roman"/>
                <w:sz w:val="20"/>
                <w:szCs w:val="20"/>
                <w:color w:val="000000"/>
              </w:rPr>
              <w:t>410302200802270064</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2、郑建光</w:t>
            </w:r>
          </w:p>
        </w:tc>
        <w:tc>
          <w:tcPr>
            <w:tcW w:w="2310" w:type="dxa"/>
            <w:vAlign w:val="center"/>
            <w:gridSpan w:val="2"/>
          </w:tcPr>
          <w:p>
            <w:pPr/>
            <w:r>
              <w:rPr>
                <w:lang w:val="zh-CN"/>
                <w:rFonts w:ascii="Times New Roman" w:hAnsi="Times New Roman" w:cs="Times New Roman"/>
                <w:sz w:val="20"/>
                <w:szCs w:val="20"/>
                <w:color w:val="000000"/>
              </w:rPr>
              <w:t>41031119730721303X</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3、张耐茹</w:t>
            </w:r>
          </w:p>
        </w:tc>
        <w:tc>
          <w:tcPr>
            <w:tcW w:w="2310" w:type="dxa"/>
            <w:vAlign w:val="center"/>
            <w:gridSpan w:val="2"/>
          </w:tcPr>
          <w:p>
            <w:pPr/>
            <w:r>
              <w:rPr>
                <w:lang w:val="zh-CN"/>
                <w:rFonts w:ascii="Times New Roman" w:hAnsi="Times New Roman" w:cs="Times New Roman"/>
                <w:sz w:val="20"/>
                <w:szCs w:val="20"/>
                <w:color w:val="000000"/>
              </w:rPr>
              <w:t>410311197508153029</w:t>
            </w:r>
          </w:p>
        </w:tc>
        <w:tc>
          <w:tcPr>
            <w:tcW w:w="2310" w:type="dxa"/>
            <w:vAlign w:val="center"/>
          </w:tcPr>
          <w:p>
            <w:pPr/>
            <w:r>
              <w:rPr>
                <w:lang w:val="zh-CN"/>
                <w:rFonts w:ascii="Times New Roman" w:hAnsi="Times New Roman" w:cs="Times New Roman"/>
                <w:sz w:val="20"/>
                <w:szCs w:val="20"/>
                <w:color w:val="000000"/>
              </w:rPr>
              <w:t>13658855928</w:t>
            </w:r>
          </w:p>
        </w:tc>
        <w:tc>
          <w:tcPr>
            <w:tcW w:w="2310" w:type="dxa"/>
            <w:vAlign w:val="center"/>
          </w:tcPr>
          <w:p>
            <w:pPr/>
          </w:p>
        </w:tc>
        <w:tc>
          <w:tcPr>
            <w:tcW w:w="2310" w:type="dxa"/>
            <w:vAlign w:val="center"/>
            <w:gridSpan w:val="2"/>
          </w:tcPr>
          <w:p>
            <w:pP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3</w:t>
            </w:r>
          </w:p>
        </w:tc>
        <w:tc>
          <w:tcPr>
            <w:tcW w:w="2310" w:type="dxa"/>
          </w:tcPr>
          <w:p>
            <w:pPr/>
            <w:r>
              <w:rPr>
                <w:lang w:val="zh-CN"/>
                <w:rFonts w:ascii="Times New Roman" w:hAnsi="Times New Roman" w:cs="Times New Roman"/>
                <w:sz w:val="20"/>
                <w:szCs w:val="20"/>
                <w:color w:val="000000"/>
              </w:rPr>
              <w:t>4830.00</w:t>
            </w:r>
          </w:p>
        </w:tc>
        <w:tc>
          <w:tcPr>
            <w:tcW w:w="2310" w:type="dxa"/>
          </w:tcPr>
          <w:p>
            <w:pPr/>
            <w:r>
              <w:rPr>
                <w:lang w:val="zh-CN"/>
                <w:rFonts w:ascii="Times New Roman" w:hAnsi="Times New Roman" w:cs="Times New Roman"/>
                <w:sz w:val="20"/>
                <w:szCs w:val="20"/>
                <w:color w:val="000000"/>
              </w:rPr>
              <w:t>14490.00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总金额：壹万肆仟肆佰玖拾元整</w:t>
            </w:r>
          </w:p>
        </w:tc>
        <w:tc>
          <w:tcPr>
            <w:tcW w:w="2310" w:type="dxa"/>
            <w:textDirection w:val="right"/>
            <w:gridSpan w:val="3"/>
          </w:tcPr>
          <w:p>
            <w:pPr/>
            <w:r>
              <w:rPr>
                <w:lang w:val="zh-CN"/>
                <w:rFonts w:ascii="Times New Roman" w:hAnsi="Times New Roman" w:cs="Times New Roman"/>
                <w:b/>
                <w:color w:val="FF0000"/>
              </w:rPr>
              <w:t>14490.00</w:t>
            </w:r>
          </w:p>
        </w:tc>
      </w:tr>
      <w:tr>
        <w:tc>
          <w:tcPr>
            <w:tcW w:w="2310" w:type="dxa"/>
            <w:gridSpan w:val="8"/>
          </w:tcPr>
          <w:p>
            <w:pP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富滇银行股份有限公司昆明白塔支行</w:t>
            </w:r>
          </w:p>
        </w:tc>
        <w:tc>
          <w:tcPr>
            <w:tcW w:w="2310" w:type="dxa"/>
            <w:gridSpan w:val="2"/>
          </w:tcPr>
          <w:p>
            <w:pPr/>
            <w:r>
              <w:rPr>
                <w:lang w:val="zh-CN"/>
                <w:rFonts w:ascii="Times New Roman" w:hAnsi="Times New Roman" w:cs="Times New Roman"/>
                <w:sz w:val="20"/>
                <w:szCs w:val="20"/>
                <w:color w:val="000000"/>
              </w:rPr>
              <w:t>昆明康辉旅行社有限公司</w:t>
            </w:r>
          </w:p>
        </w:tc>
        <w:tc>
          <w:tcPr>
            <w:tcW w:w="2310" w:type="dxa"/>
            <w:gridSpan w:val="3"/>
          </w:tcPr>
          <w:p>
            <w:pPr/>
            <w:r>
              <w:rPr>
                <w:lang w:val="zh-CN"/>
                <w:rFonts w:ascii="Times New Roman" w:hAnsi="Times New Roman" w:cs="Times New Roman"/>
                <w:sz w:val="20"/>
                <w:szCs w:val="20"/>
                <w:color w:val="000000"/>
              </w:rPr>
              <w:t>927011010000838038</w:t>
            </w:r>
          </w:p>
        </w:tc>
      </w:tr>
      <w:tr>
        <w:tc>
          <w:tcPr>
            <w:tcW w:w="2310" w:type="dxa"/>
            <w:gridSpan w:val="3"/>
          </w:tcPr>
          <w:p>
            <w:pPr/>
            <w:r>
              <w:rPr>
                <w:lang w:val="zh-CN"/>
                <w:rFonts w:ascii="Times New Roman" w:hAnsi="Times New Roman" w:cs="Times New Roman"/>
                <w:sz w:val="20"/>
                <w:szCs w:val="20"/>
                <w:color w:val="000000"/>
              </w:rPr>
              <w:t>中国银行昆明市环城南路支行</w:t>
            </w:r>
          </w:p>
        </w:tc>
        <w:tc>
          <w:tcPr>
            <w:tcW w:w="2310" w:type="dxa"/>
            <w:gridSpan w:val="2"/>
          </w:tcPr>
          <w:p>
            <w:pPr/>
            <w:r>
              <w:rPr>
                <w:lang w:val="zh-CN"/>
                <w:rFonts w:ascii="Times New Roman" w:hAnsi="Times New Roman" w:cs="Times New Roman"/>
                <w:sz w:val="20"/>
                <w:szCs w:val="20"/>
                <w:color w:val="000000"/>
              </w:rPr>
              <w:t>王美</w:t>
            </w:r>
          </w:p>
        </w:tc>
        <w:tc>
          <w:tcPr>
            <w:tcW w:w="2310" w:type="dxa"/>
            <w:gridSpan w:val="3"/>
          </w:tcPr>
          <w:p>
            <w:pPr/>
            <w:r>
              <w:rPr>
                <w:lang w:val="zh-CN"/>
                <w:rFonts w:ascii="Times New Roman" w:hAnsi="Times New Roman" w:cs="Times New Roman"/>
                <w:sz w:val="20"/>
                <w:szCs w:val="20"/>
                <w:color w:val="000000"/>
              </w:rPr>
              <w:t>6217 9027 0000 6040 008</w:t>
            </w:r>
          </w:p>
        </w:tc>
      </w:tr>
      <w:tr>
        <w:tc>
          <w:tcPr>
            <w:tcW w:w="2310" w:type="dxa"/>
            <w:gridSpan w:val="3"/>
          </w:tcPr>
          <w:p>
            <w:pPr/>
            <w:r>
              <w:rPr>
                <w:lang w:val="zh-CN"/>
                <w:rFonts w:ascii="Times New Roman" w:hAnsi="Times New Roman" w:cs="Times New Roman"/>
                <w:sz w:val="20"/>
                <w:szCs w:val="20"/>
                <w:color w:val="000000"/>
              </w:rPr>
              <w:t>中国银行股份有限公司楚雄州开发区支行</w:t>
            </w:r>
          </w:p>
        </w:tc>
        <w:tc>
          <w:tcPr>
            <w:tcW w:w="2310" w:type="dxa"/>
            <w:gridSpan w:val="2"/>
          </w:tcPr>
          <w:p>
            <w:pPr/>
            <w:r>
              <w:rPr>
                <w:lang w:val="zh-CN"/>
                <w:rFonts w:ascii="Times New Roman" w:hAnsi="Times New Roman" w:cs="Times New Roman"/>
                <w:sz w:val="20"/>
                <w:szCs w:val="20"/>
                <w:color w:val="000000"/>
              </w:rPr>
              <w:t>云南全季旅行社有限公司</w:t>
            </w:r>
          </w:p>
        </w:tc>
        <w:tc>
          <w:tcPr>
            <w:tcW w:w="2310" w:type="dxa"/>
            <w:gridSpan w:val="3"/>
          </w:tcPr>
          <w:p>
            <w:pPr/>
            <w:r>
              <w:rPr>
                <w:lang w:val="zh-CN"/>
                <w:rFonts w:ascii="Times New Roman" w:hAnsi="Times New Roman" w:cs="Times New Roman"/>
                <w:sz w:val="20"/>
                <w:szCs w:val="20"/>
                <w:color w:val="000000"/>
              </w:rPr>
              <w:t>135686677700</w:t>
            </w:r>
          </w:p>
        </w:tc>
      </w:tr>
      <w:tr>
        <w:tc>
          <w:tcPr>
            <w:tcW w:w="2310" w:type="dxa"/>
            <w:gridSpan w:val="3"/>
          </w:tcPr>
          <w:p>
            <w:pPr/>
            <w:r>
              <w:rPr>
                <w:lang w:val="zh-CN"/>
                <w:rFonts w:ascii="Times New Roman" w:hAnsi="Times New Roman" w:cs="Times New Roman"/>
                <w:sz w:val="20"/>
                <w:szCs w:val="20"/>
                <w:color w:val="000000"/>
              </w:rPr>
              <w:t>中国银行昆明市北京路支行</w:t>
            </w:r>
          </w:p>
        </w:tc>
        <w:tc>
          <w:tcPr>
            <w:tcW w:w="2310" w:type="dxa"/>
            <w:gridSpan w:val="2"/>
          </w:tcPr>
          <w:p>
            <w:pPr/>
            <w:r>
              <w:rPr>
                <w:lang w:val="zh-CN"/>
                <w:rFonts w:ascii="Times New Roman" w:hAnsi="Times New Roman" w:cs="Times New Roman"/>
                <w:sz w:val="20"/>
                <w:szCs w:val="20"/>
                <w:color w:val="000000"/>
              </w:rPr>
              <w:t>北京嘻道国际旅行社有限公司云南分公司</w:t>
            </w:r>
          </w:p>
        </w:tc>
        <w:tc>
          <w:tcPr>
            <w:tcW w:w="2310" w:type="dxa"/>
            <w:gridSpan w:val="3"/>
          </w:tcPr>
          <w:p>
            <w:pPr/>
            <w:r>
              <w:rPr>
                <w:lang w:val="zh-CN"/>
                <w:rFonts w:ascii="Times New Roman" w:hAnsi="Times New Roman" w:cs="Times New Roman"/>
                <w:sz w:val="20"/>
                <w:szCs w:val="20"/>
                <w:color w:val="000000"/>
              </w:rPr>
              <w:t>134107986557</w:t>
            </w:r>
          </w:p>
        </w:tc>
      </w:tr>
      <w:tr>
        <w:tc>
          <w:tcPr>
            <w:tcW w:w="2310" w:type="dxa"/>
            <w:gridSpan w:val="3"/>
          </w:tcPr>
          <w:p>
            <w:pPr/>
            <w:r>
              <w:rPr>
                <w:lang w:val="zh-CN"/>
                <w:rFonts w:ascii="Times New Roman" w:hAnsi="Times New Roman" w:cs="Times New Roman"/>
                <w:sz w:val="20"/>
                <w:szCs w:val="20"/>
                <w:color w:val="000000"/>
              </w:rPr>
              <w:t>中国银行股份有限公司昆明市长水机场支行</w:t>
            </w:r>
          </w:p>
        </w:tc>
        <w:tc>
          <w:tcPr>
            <w:tcW w:w="2310" w:type="dxa"/>
            <w:gridSpan w:val="2"/>
          </w:tcPr>
          <w:p>
            <w:pPr/>
            <w:r>
              <w:rPr>
                <w:lang w:val="zh-CN"/>
                <w:rFonts w:ascii="Times New Roman" w:hAnsi="Times New Roman" w:cs="Times New Roman"/>
                <w:sz w:val="20"/>
                <w:szCs w:val="20"/>
                <w:color w:val="000000"/>
              </w:rPr>
              <w:t>海外国际旅游集团控股有限公司民航路飞扬分公司</w:t>
            </w:r>
          </w:p>
        </w:tc>
        <w:tc>
          <w:tcPr>
            <w:tcW w:w="2310" w:type="dxa"/>
            <w:gridSpan w:val="3"/>
          </w:tcPr>
          <w:p>
            <w:pPr/>
            <w:r>
              <w:rPr>
                <w:lang w:val="zh-CN"/>
                <w:rFonts w:ascii="Times New Roman" w:hAnsi="Times New Roman" w:cs="Times New Roman"/>
                <w:sz w:val="20"/>
                <w:szCs w:val="20"/>
                <w:color w:val="000000"/>
              </w:rPr>
              <w:t>137306471187</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2026/08/15</w:t>
            </w:r>
          </w:p>
        </w:tc>
        <w:tc>
          <w:tcPr>
            <w:tcW w:w="2310" w:type="dxa"/>
            <w:gridSpan w:val="7"/>
          </w:tcPr>
          <w:p>
            <w:pPr/>
            <w:r>
              <w:rPr>
                <w:lang w:val="zh-CN"/>
                <w:rFonts w:ascii="Times New Roman" w:hAnsi="Times New Roman" w:cs="Times New Roman"/>
                <w:b/>
                <w:color w:val="000000"/>
              </w:rPr>
              <w:t>昆明—上海/南京 (飞机)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昆明自行前往上海/南京，抵达后入住酒店；客人出发的前一天，导游/接站师傅会通过短信/电话联系客人，请保持手机畅通； 接站温馨提示：1、因散客拼团，每批游客的火车/航班抵达时间不同，抵达后需要等候，请提前同游客做好解释工作，等待时间不超过2小时（如不愿等待的，我们可以提供有偿的接站服务：250元/趟-小轿车）；2、散客拼团，接站是司机，不是导游；3、接送站为增值服务，不用不退；提住和延住不提供免费接送站服务，请自行前往；4、08：00-23：00提供免费接站服务，23：00之后落地需自行前往酒店或有偿接站服务；5、免费接站站点仅限：上海浦东机场、上海虹桥机场、上海虹桥高铁站、上海火车站、上海南站；南京禄口机场、南京高铁南站、南京站。其他地点暂不提供免费接站服务，敬请自行前往。</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早餐：自理；午餐：自理；晚餐：自理；住宿：上海/南京</w:t>
            </w:r>
          </w:p>
        </w:tc>
      </w:tr>
      <w:tr>
        <w:tc>
          <w:tcPr>
            <w:tcW w:w="2310" w:type="dxa"/>
            <w:vAlign w:val="center"/>
            <w:vMerge w:val="restart"/>
          </w:tcPr>
          <w:p>
            <w:pPr/>
            <w:r>
              <w:rPr>
                <w:lang w:val="zh-CN"/>
                <w:rFonts w:ascii="Times New Roman" w:hAnsi="Times New Roman" w:cs="Times New Roman"/>
                <w:sz w:val="20"/>
                <w:szCs w:val="20"/>
                <w:color w:val="000000"/>
              </w:rPr>
              <w:t>2026/08/16</w:t>
            </w:r>
          </w:p>
        </w:tc>
        <w:tc>
          <w:tcPr>
            <w:tcW w:w="2310" w:type="dxa"/>
            <w:gridSpan w:val="7"/>
          </w:tcPr>
          <w:p>
            <w:pPr/>
            <w:r>
              <w:rPr>
                <w:lang w:val="zh-CN"/>
                <w:rFonts w:ascii="Times New Roman" w:hAnsi="Times New Roman" w:cs="Times New Roman"/>
                <w:b/>
                <w:color w:val="000000"/>
              </w:rPr>
              <w:t>上海—南京—无锡 (巴士)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上车赴南京（车程约5小时），早上出发时间比较早，安排酒店打包早，敬请谅解！路上无导游，导游在夫子庙等待。(如第一天入住南京，第二天早上自由活动，无导游，导游在夫子庙等待。)游集南京六朝文化和民俗市肆文化于一身的【秦淮河风光带-夫子庙商业街】（赠送电瓶车10元/人）(游览时间约60分钟)：秦淮河风光带，文德桥，乌衣巷，神州第一大照壁，感受“十里秦淮千年流淌，六朝胜地今更辉煌”，自费品尝南京小吃；后参观我国伟大的先行者孙中山先生的长眠之处,国家级AAAAA级景区【中山陵】（赠送电瓶车20元/人）（游览参观时间约90分钟）：灵柩于1929年6月1日奉安于此。中山陵主要建筑排列在一条中轴线上，体现了中国传统建筑的风格。陵墓坐北朝南，墓地全局呈“警钟”形图案，其中祭堂为仿宫殿式的建筑，建有三道拱门，门楣上刻有“民族，民权，民生”横额。祭堂内放置孙中山先生大理石坐像，壁上刻有孙中山先生手书《建国大纲》全文。(如遇中山陵周一闭馆，只能游览景区前半段，请谅解）。中山陵实行实名制预约，由于散客拼团无法提前出计划和名单，如未预约成功，则安排游览雨花台或其他景区，请谅解。车赴无锡（车程约2.5小时），游览【拈花湾禅意小镇】（游玩时间约90分钟）：走进拈花湾，会发现在整体布局、假山水泉、亭台楼阁、一草一木都充满了宁静的禅意美学，给人带来自然的宁静和平和；与白天相比，夜游拈花湾有着别样的魅力，不用在人群中挤来挤去，夜晚的灯光设计将建筑和景观存托的更加梦幻，随手一拍就是大片。※特别体验：独家赠送“穿汉服提灯夜行”，在唐宋风韵的香月花街拍盛世长安大片，欣赏“亮塔仪式”的绝美，看300架无人机点亮拈花湾的璀璨星空，※温馨提示：光影秀是拈花湾夜生活的“重头戏”，融合了现代科技与传统文化的表演，将水、光、影、声完美结合，构建出一个梦幻的禅意世界；具体演出时间以现场公告为准。温馨提示：如遇节假日或拈花湾景区内客栈满房，则调整至市区携程5钻酒店，取消拈花湾夜游，如因此产生的投诉概不受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早餐：含；午餐：含；晚餐：含；住宿：拈花湾</w:t>
            </w:r>
          </w:p>
        </w:tc>
      </w:tr>
      <w:tr>
        <w:tc>
          <w:tcPr>
            <w:tcW w:w="2310" w:type="dxa"/>
            <w:vAlign w:val="center"/>
            <w:vMerge w:val="restart"/>
          </w:tcPr>
          <w:p>
            <w:pPr/>
            <w:r>
              <w:rPr>
                <w:lang w:val="zh-CN"/>
                <w:rFonts w:ascii="Times New Roman" w:hAnsi="Times New Roman" w:cs="Times New Roman"/>
                <w:sz w:val="20"/>
                <w:szCs w:val="20"/>
                <w:color w:val="000000"/>
              </w:rPr>
              <w:t>2026/08/17</w:t>
            </w:r>
          </w:p>
        </w:tc>
        <w:tc>
          <w:tcPr>
            <w:tcW w:w="2310" w:type="dxa"/>
            <w:gridSpan w:val="7"/>
          </w:tcPr>
          <w:p>
            <w:pPr/>
            <w:r>
              <w:rPr>
                <w:lang w:val="zh-CN"/>
                <w:rFonts w:ascii="Times New Roman" w:hAnsi="Times New Roman" w:cs="Times New Roman"/>
                <w:b/>
                <w:color w:val="000000"/>
              </w:rPr>
              <w:t>无锡—苏州—桐乡(巴士)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参观中国五方五大佛之一【灵山大佛】（游玩时间约150分钟，赠送景点电瓶车，不用不退）：整个大佛通高88米，其中佛体高79米，大佛的每个手指的直径就有1米；观大型动态音乐群雕——九龙灌浴、抱佛脚、佛足坛、阿育王柱、五印坛城以及第二届世界佛教论坛举办地—【灵山梵宫】；※温馨提示：1、【灵山吉祥颂】演出于2026年1月20号起进行全面升级改造。演出将暂停，复演时间另行通知！2、中午升级价值60元/位的灵山梵宫素斋自助餐，如遇节假日预约不上改为景区外桌餐，无费用可退；中餐后车赴苏州（车程约1.5小时），游览苏州拙政园、北京颐和园、承德避暑山庄合称中国四大名园的苏州【留园】（游览时间约90分钟）：是苏州园林必去之园；庭院错落相连，镂空木窗透出季节的色彩，园内亭台楼阁、奇石曲廊，加上满园的绿意和一汪碧水池塘，一步一景，尽显江南苏州园林之美；在这里，可以体会一种园林山水之间的平淡气息。船游【苏州古运河+评弹已升级包含】（游览时间约60分钟）：沿途欣赏盘门、胥门、金门、闾门等10座苏州古城门和风格不一的桥梁，许多桥洞下还配有精美的浮雕，船上还配有评弹演出，沿途讲解，在观光的同时领略苏州的历史典故，感受苏州古城的深厚文化内涵。车赴桐乡（车程约1.5小时），【夜游乌镇西栅】沉浸式感受水乡特色，仿佛梦回千年。如果白天的乌镇给了你原汁原味的江南水乡风情感受，那么夜晚的乌镇会带给你迥然不同的风情。入夜时分，时控的泛光照明陆续亮起，将整个西栅勾画得晶莹剔透。古树下，桥拱里，水阁石柱中，河埠台阶上，鳞次栉比的古建筑上，各种点、块、线状灯光相互辉映，整个古镇像笼罩在梦幻中。漫步在灯火阑珊的西栅，会使你沉醉在美丽的梦境中，让人有恍然不知身在何处的感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早餐：含；午餐：含；晚餐：含；住宿：乌镇西栅</w:t>
            </w:r>
          </w:p>
        </w:tc>
      </w:tr>
      <w:tr>
        <w:tc>
          <w:tcPr>
            <w:tcW w:w="2310" w:type="dxa"/>
            <w:vAlign w:val="center"/>
            <w:vMerge w:val="restart"/>
          </w:tcPr>
          <w:p>
            <w:pPr/>
            <w:r>
              <w:rPr>
                <w:lang w:val="zh-CN"/>
                <w:rFonts w:ascii="Times New Roman" w:hAnsi="Times New Roman" w:cs="Times New Roman"/>
                <w:sz w:val="20"/>
                <w:szCs w:val="20"/>
                <w:color w:val="000000"/>
              </w:rPr>
              <w:t>2026/08/18</w:t>
            </w:r>
          </w:p>
        </w:tc>
        <w:tc>
          <w:tcPr>
            <w:tcW w:w="2310" w:type="dxa"/>
            <w:gridSpan w:val="7"/>
          </w:tcPr>
          <w:p>
            <w:pPr/>
            <w:r>
              <w:rPr>
                <w:lang w:val="zh-CN"/>
                <w:rFonts w:ascii="Times New Roman" w:hAnsi="Times New Roman" w:cs="Times New Roman"/>
                <w:b/>
                <w:color w:val="000000"/>
              </w:rPr>
              <w:t>桐乡—湖州—杭州(巴士)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车赴湖州（车程约0.5小时），游江南六大水乡古镇之一【南浔】（游览时间约90分钟），游览闻名遐迩的江南园林—小莲庄，著名私家藏书楼—嘉业堂，明清水乡建筑—百间楼，江南第一巨宅—张石铭故居等；欣赏“浔爱江南，回首浪漫”别具特色的南浔水乡婚礼，体验不一样的一品水乡情。后车赴丝绸之府、休闲之都杭州（车程约2.0小时）；游览江南第一石窟—【灵隐飞来峰】（游览时间约120分钟时）：飞来峰是江南少见的古代石窟艺术瑰宝，可与四川大足石刻媲美。苏东坡曾有“溪山处处皆可庐，最爱灵隐飞来峰”的诗句；杭州第一寺，中国佛教著名“十刹”之一的【灵隐寺】，当时印度僧人慧理来杭，看到这里山峰奇秀，以为是“仙灵所隐”，就在这里建寺，取名灵隐。后来济公在此出家，由于他游戏人间的故事家喻户晓，灵隐寺因此名闻遐迩；※温馨提示：1、涉及周末、节假日、旅游旺季等，大巴车禁止进入，需要换乘公交车，费用20元/人敬请自理！2、灵隐飞来峰景区于2025年12月1日开始实行提前7天实名制免费预约参观，如遇旅游旺季预约不到或交通管制等特殊情况，为确保行程顺利，我们将调整为【杭州西溪国家湿地公园】，景区内有游船&amp;电瓶车60元/人，如需乘坐费用敬请自理！游览中国最大的宋文化主题景区-【宋城景区+宋城千古情表演升级包含】（游玩时间约120分钟）：古越先民劳作生息的动人场景、南宋王朝的繁华如烟、岳飞抗金的英雄悲情、感人至深的白蛇与许仙、催人泪下的祝传说、在这里您不仅可以充分感受宋代古都昔日的繁华景象，也可以欣赏到用世界最前的手法演绎出来的一段最古老的文化记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早餐：含；午餐：含；晚餐：含；住宿：杭州</w:t>
            </w:r>
          </w:p>
        </w:tc>
      </w:tr>
      <w:tr>
        <w:tc>
          <w:tcPr>
            <w:tcW w:w="2310" w:type="dxa"/>
            <w:vAlign w:val="center"/>
            <w:vMerge w:val="restart"/>
          </w:tcPr>
          <w:p>
            <w:pPr/>
            <w:r>
              <w:rPr>
                <w:lang w:val="zh-CN"/>
                <w:rFonts w:ascii="Times New Roman" w:hAnsi="Times New Roman" w:cs="Times New Roman"/>
                <w:sz w:val="20"/>
                <w:szCs w:val="20"/>
                <w:color w:val="000000"/>
              </w:rPr>
              <w:t>2026/08/19</w:t>
            </w:r>
          </w:p>
        </w:tc>
        <w:tc>
          <w:tcPr>
            <w:tcW w:w="2310" w:type="dxa"/>
            <w:gridSpan w:val="7"/>
          </w:tcPr>
          <w:p>
            <w:pPr/>
            <w:r>
              <w:rPr>
                <w:lang w:val="zh-CN"/>
                <w:rFonts w:ascii="Times New Roman" w:hAnsi="Times New Roman" w:cs="Times New Roman"/>
                <w:b/>
                <w:color w:val="000000"/>
              </w:rPr>
              <w:t>杭州—上海(巴士)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参观国家4A级景区【龙坞茶镇】（时间约90分钟）：龙坞茶镇素有“千年茶镇、万担茶乡”的美誉，四周群山环抱，茶园茶山连绵，负氧离子浓度常年在4000个/cn3以上，是天然的大氧吧。置身茶园，穿上茶巾、围裙，背上茶蒌等道具，可在茶园里打卡拍照留念。茶园内有购物场所，请不要跟随其他人进入，无需购买。后游览【西湖风景区】(游览时间不少于90分钟，乘游船环湖游西湖，深度赏西湖之美，赠送西湖风景区进出交驳车)：景区是一处以秀丽清雅的湖光山色与璀璨丰蕴的文物古迹和文化艺术交融一体的国家级风景名胜区，漫步苏堤，游览花港观鱼，远眺雷峰夕照，三潭印月，苏堤春晓，西湖十景等。车赴上海（车程约1.5小时），登上海金贸大厦88层观光厅俯瞰浦东建筑群，乘坐黄浦江豪华游轮欣赏浦江两岸华丽的美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早餐：含；午餐：含；晚餐：含；住宿：上海</w:t>
            </w:r>
          </w:p>
        </w:tc>
      </w:tr>
      <w:tr>
        <w:tc>
          <w:tcPr>
            <w:tcW w:w="2310" w:type="dxa"/>
            <w:vAlign w:val="center"/>
            <w:vMerge w:val="restart"/>
          </w:tcPr>
          <w:p>
            <w:pPr/>
            <w:r>
              <w:rPr>
                <w:lang w:val="zh-CN"/>
                <w:rFonts w:ascii="Times New Roman" w:hAnsi="Times New Roman" w:cs="Times New Roman"/>
                <w:sz w:val="20"/>
                <w:szCs w:val="20"/>
                <w:color w:val="000000"/>
              </w:rPr>
              <w:t>2026/08/20</w:t>
            </w:r>
          </w:p>
        </w:tc>
        <w:tc>
          <w:tcPr>
            <w:tcW w:w="2310" w:type="dxa"/>
            <w:gridSpan w:val="7"/>
          </w:tcPr>
          <w:p>
            <w:pPr/>
            <w:r>
              <w:rPr>
                <w:lang w:val="zh-CN"/>
                <w:rFonts w:ascii="Times New Roman" w:hAnsi="Times New Roman" w:cs="Times New Roman"/>
                <w:b/>
                <w:color w:val="000000"/>
              </w:rPr>
              <w:t>上海—昆明  (飞机)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游【外滩风光带】百年上海滩的标志和象征，万国建筑博览群、黄埔江风光；【南京路步行街】自由活动，老上海十里洋场，中华五星商业街，数以千计的大中小型商场，汇集了中国最全和最时尚的商品，自由观光购物（约2小时）根据时间送站。 送站温馨提示：1、散客拼团，我们仅提供三次免费送站服务，客人可能会出现2-3个小时的候车或候机时间，请客人理解并配合。第一趟：早上酒店集合送站（您的车次早于12：00我们将在宾馆直接安排车送站，南京路自动放弃，无费用可退）。第二趟：12：00上海十六铺码头停车场集合出发；第三趟：15点左右（全天最后一次免费送站），十六铺码头停车场集合发车。2、免费送站地点仅限为：火车站和机场，其他地点暂不提供服务！3、因上海为国际化大都市，交通情况不稳定，正常安排提前3-4小时左右送站；4、送站不是导游，需客人自行办理登机牌。</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大交通：昆明-上海/南京；上海-昆明经济舱含税机票，不指定航班，以实际出票为准！全程正规旅游大巴车服务，保证一人一正座。座位次序为随机分配，不分先后，保证1人1正座，自由活动期间不包含用车。该产品约定团队人数为25人，若因单组人数临时增加，存在人数上下浮动15%，敬请理解！2、住宿服务：全程入住携程五钻酒店+一晚拈花湾禅意客栈+一晚乌镇西栅内客栈。如产生单方差，客自行补房差；酒店报价是按照2人入住1间房计算，如您产生单房差，我们将尽量安排您与其他客人拼房入住。如团中未有同性游客拼住，还是会产生单房差费用。如您要求享受单房，请选择补交单人房差。3、餐饮服务：5早8正，早餐酒店含自助早餐，不用不退，正餐餐标50元/人；儿童不占床不含早餐4、门票服务：行程中所列景点首道门票，不含景区内小交通门票；门票以按照最优旅行社协议价核算，无任何证件优惠退费，请知晓！5、导游服务：当地中文导游服务，接驳期间或自由活动期间不含导游服务。无全陪服务；6、儿童报价：1.2米（不含）以下儿童，含半餐，含导游服务费，含车费。不含门票不含床位费（早餐费用现付），如超高产生门票及其他费用由家长现付；如需占床补床位费。小孩请携带户口本本人页原件。儿童超高补门票660元/人，补早餐360元/人，补房差880元/人  参考酒店【上海参考酒店】：上海智微世纪酒店、浦东丽呈华廷酒店、上海浦东主题乐园万信酒店、苏宁诺富特酒店等同级别酒店；【南京参考酒店】：南京西普诗鸿酒店、珍宝假日江宁店、明发新河湾酒店、滨江雅高瑞享酒店、浦口开元大酒店、句容墨尔顿酒店等同级别酒店；【无锡参考酒店】：无锡拈花湾客栈，如遇房满改住景区外携程5钻酒店：新梨庄大酒店、德根饭店、百乐温德姆酒店、锡州花园酒店、瑞廷西郊酒店、温特莱彰德饭店等同级别酒店；【乌镇参考酒店】：乌镇通安客栈、昭明书舍、枕水度假酒店等酒店，如遇景区内房满，改住景区外携程5钻酒店，乌镇云贝尔贵族酒店、伊甸园铂金酒店、濮锦大酒店、桐乡振石大酒店、海宁瑞莱克斯大酒店等同级别酒店。【杭州参考酒店】：杭州唯亭酒店（浙江工业大学屏峰校区店）、紫金港Pagoda君亭设计、临平瑞莱克斯大酒店、兰里雷迪森大酒店、萧元雷迪森广场酒店、居卡曼雷迪森酒店、艺尚雷迪森广场酒店（临平南高铁站店）、紫金港莎玛酒店等同级别酒店；</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自费一价全含660元已升级包含1、苏州古运河：约1小时，价值：150元/人；2、上海夜景（登金茂大厦+黄浦江游船）：约2小时，价值：320元/人；3、宋城千古情：约2小时，价值：260元/人；儿童特别说明：儿童价格未包含以上三个项目 超高请自理门票费用。自费景交必销景交：西湖接驳车20元 中山陵电瓶车20元 灵山电瓶车40元 夫子庙电瓶车10元已赠送包含，不去不退购物全程无购物店，车销不算购物店</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袁会林</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谭超群</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16</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2026/8/16 20:12:48</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