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富源康辉/游春香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游春英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13529871452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13888360750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HDL06BH250809A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0809江南大境6天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6(5大1小)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1、吕文峰</w:t>
            </w:r>
          </w:p>
        </w:tc>
        <w:tc>
          <w:tcPr>
            <w:tcW w:w="2310" w:type="dxa"/>
            <w:vAlign w:val="center"/>
            <w:gridSpan w:val="2"/>
          </w:tcPr>
          <w:p>
            <w:pPr/>
            <w:r>
              <w:rPr>
                <w:lang w:val="zh-CN"/>
                <w:rFonts w:ascii="Times New Roman" w:hAnsi="Times New Roman" w:cs="Times New Roman"/>
                <w:sz w:val="20"/>
                <w:szCs w:val="20"/>
                <w:color w:val="000000"/>
              </w:rPr>
              <w:t>53222519800222093X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2、吕小本</w:t>
            </w:r>
          </w:p>
        </w:tc>
        <w:tc>
          <w:tcPr>
            <w:tcW w:w="2310" w:type="dxa"/>
            <w:vAlign w:val="center"/>
            <w:gridSpan w:val="2"/>
          </w:tcPr>
          <w:p>
            <w:pPr/>
            <w:r>
              <w:rPr>
                <w:lang w:val="zh-CN"/>
                <w:rFonts w:ascii="Times New Roman" w:hAnsi="Times New Roman" w:cs="Times New Roman"/>
                <w:sz w:val="20"/>
                <w:szCs w:val="20"/>
                <w:color w:val="000000"/>
              </w:rPr>
              <w:t>532225195307020919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3、张水仙</w:t>
            </w:r>
          </w:p>
        </w:tc>
        <w:tc>
          <w:tcPr>
            <w:tcW w:w="2310" w:type="dxa"/>
            <w:vAlign w:val="center"/>
            <w:gridSpan w:val="2"/>
          </w:tcPr>
          <w:p>
            <w:pPr/>
            <w:r>
              <w:rPr>
                <w:lang w:val="zh-CN"/>
                <w:rFonts w:ascii="Times New Roman" w:hAnsi="Times New Roman" w:cs="Times New Roman"/>
                <w:sz w:val="20"/>
                <w:szCs w:val="20"/>
                <w:color w:val="000000"/>
              </w:rPr>
              <w:t>532225195612050946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4、金玉仙</w:t>
            </w:r>
          </w:p>
        </w:tc>
        <w:tc>
          <w:tcPr>
            <w:tcW w:w="2310" w:type="dxa"/>
            <w:vAlign w:val="center"/>
            <w:gridSpan w:val="2"/>
          </w:tcPr>
          <w:p>
            <w:pPr/>
            <w:r>
              <w:rPr>
                <w:lang w:val="zh-CN"/>
                <w:rFonts w:ascii="Times New Roman" w:hAnsi="Times New Roman" w:cs="Times New Roman"/>
                <w:sz w:val="20"/>
                <w:szCs w:val="20"/>
                <w:color w:val="000000"/>
              </w:rPr>
              <w:t>532225198109070329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5、吕喆</w:t>
            </w:r>
          </w:p>
        </w:tc>
        <w:tc>
          <w:tcPr>
            <w:tcW w:w="2310" w:type="dxa"/>
            <w:vAlign w:val="center"/>
            <w:gridSpan w:val="2"/>
          </w:tcPr>
          <w:p>
            <w:pPr/>
            <w:r>
              <w:rPr>
                <w:lang w:val="zh-CN"/>
                <w:rFonts w:ascii="Times New Roman" w:hAnsi="Times New Roman" w:cs="Times New Roman"/>
                <w:sz w:val="20"/>
                <w:szCs w:val="20"/>
                <w:color w:val="000000"/>
              </w:rPr>
              <w:t>530325200704291517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6、金诺一</w:t>
            </w:r>
          </w:p>
        </w:tc>
        <w:tc>
          <w:tcPr>
            <w:tcW w:w="2310" w:type="dxa"/>
            <w:vAlign w:val="center"/>
            <w:gridSpan w:val="2"/>
          </w:tcPr>
          <w:p>
            <w:pPr/>
            <w:r>
              <w:rPr>
                <w:lang w:val="zh-CN"/>
                <w:rFonts w:ascii="Times New Roman" w:hAnsi="Times New Roman" w:cs="Times New Roman"/>
                <w:sz w:val="20"/>
                <w:szCs w:val="20"/>
                <w:color w:val="000000"/>
              </w:rPr>
              <w:t>530325201910240029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2060.00</w:t>
            </w:r>
          </w:p>
        </w:tc>
        <w:tc>
          <w:tcPr>
            <w:tcW w:w="2310" w:type="dxa"/>
          </w:tcPr>
          <w:p>
            <w:pPr/>
            <w:r>
              <w:rPr>
                <w:lang w:val="zh-CN"/>
                <w:rFonts w:ascii="Times New Roman" w:hAnsi="Times New Roman" w:cs="Times New Roman"/>
                <w:sz w:val="20"/>
                <w:szCs w:val="20"/>
                <w:color w:val="000000"/>
              </w:rPr>
              <w:t>10300.00</w:t>
            </w:r>
          </w:p>
        </w:tc>
        <w:tc>
          <w:tcPr>
            <w:tcW w:w="2310" w:type="dxa"/>
            <w:gridSpan w:val="2"/>
          </w:tcPr>
          <w:p>
            <w:pPr/>
            <w:r>
              <w:rPr>
                <w:lang w:val="zh-CN"/>
                <w:rFonts w:ascii="Times New Roman" w:hAnsi="Times New Roman" w:cs="Times New Roman"/>
                <w:sz w:val="20"/>
                <w:szCs w:val="20"/>
                <w:color w:val="000000"/>
              </w:rPr>
              <w:t>往返华东交通自理</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小孩占床，不含自费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1500.00</w:t>
            </w:r>
          </w:p>
        </w:tc>
        <w:tc>
          <w:tcPr>
            <w:tcW w:w="2310" w:type="dxa"/>
          </w:tcPr>
          <w:p>
            <w:pPr/>
            <w:r>
              <w:rPr>
                <w:lang w:val="zh-CN"/>
                <w:rFonts w:ascii="Times New Roman" w:hAnsi="Times New Roman" w:cs="Times New Roman"/>
                <w:sz w:val="20"/>
                <w:szCs w:val="20"/>
                <w:color w:val="000000"/>
              </w:rPr>
              <w:t>1500.00</w:t>
            </w:r>
          </w:p>
        </w:tc>
        <w:tc>
          <w:tcPr>
            <w:tcW w:w="2310" w:type="dxa"/>
            <w:gridSpan w:val="2"/>
          </w:tcPr>
          <w:p>
            <w:pPr/>
            <w:r>
              <w:rPr>
                <w:lang w:val="zh-CN"/>
                <w:rFonts w:ascii="Times New Roman" w:hAnsi="Times New Roman" w:cs="Times New Roman"/>
                <w:sz w:val="20"/>
                <w:szCs w:val="20"/>
                <w:color w:val="000000"/>
              </w:rPr>
              <w:t>往返华东交通自理，自费现付</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总金额：壹万壹仟捌佰元整</w:t>
            </w:r>
          </w:p>
        </w:tc>
        <w:tc>
          <w:tcPr>
            <w:tcW w:w="2310" w:type="dxa"/>
            <w:textDirection w:val="right"/>
            <w:gridSpan w:val="3"/>
          </w:tcPr>
          <w:p>
            <w:pPr/>
            <w:r>
              <w:rPr>
                <w:lang w:val="zh-CN"/>
                <w:rFonts w:ascii="Times New Roman" w:hAnsi="Times New Roman" w:cs="Times New Roman"/>
                <w:b/>
                <w:color w:val="FF0000"/>
              </w:rPr>
              <w:t>11800.00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昆明→杭州(自理)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自行前往杭州，抵达后自行打车前往福元酒店办理入住；客人出发的前一天，导游会联系客人，请保持手机畅通；【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早餐：不含；午餐：不含；晚餐：不含；住宿：杭州</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杭州→南京→扬州(汽车)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退房，自行前往高铁站赴南京。抵达南京站后，司机接至夫子庙，自由活动。等待和其他客人汇合。【温馨提示】1、因散客拼团，每批游客的火车/航班抵达时间不同，抵达后需要等候，请提前同游客做好解释工作送到酒店也会有先后顺序，请游客谅解！（如不愿等待的，我们可以提供有偿的接站服务：250元/趟-小轿车）2、接站是司机，不是导游；下午游览 游集南京六朝文化和民俗市肆文化于一身的【秦淮河风光带-夫子庙商业街】(游览时间不少于90-120分钟)：秦淮河风光带，文德桥，乌衣巷，神州第一大照壁，感受“十里秦淮千年流淌，六朝胜地今更辉煌”，自费品尝南京小吃；随后游览我国伟大的先行者孙中山先生的长眠之处,国家级AAAAA级景区【中山陵】，灵柩于1929年6月1日奉安于此。中山陵主要建筑排列在一条中轴线上，体现了中国传统建筑的风格。陵墓坐北朝南，墓地全局呈“警钟”形图案，其中祭堂为仿宫殿式的建筑，建有三道拱门，门楣上刻有“民族，民权，民生”横额。祭堂内放置孙中山先生大理石坐像，壁上刻有孙中山先生手书《建国大纲》全文。车赴扬州或者镇江（车程约1.5小时），入住酒店；【温馨提示】1、如遇中山陵周一闭馆，只能游览景区前半段，请谅解。2、中山陵2018年6月1号开始实行实名制预约，预约时间提早到30天前，由于散客拼团无法提前一月出计划和名单，如未预约成功，则安排游览雨花台或其他景区，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扬州—无锡—桐乡(汽车)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烟花三月，十里桃花”，花开时节，万花争艳，来瘦西湖探寻美景，不负好春光。赴无锡，享用中餐；下午：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独家赠送价值30元/人的拈花湾小火车，载着夏风与欢笑，享受到美好的视觉体验（如遇特殊情况无法乘坐，改为体验“禅意抄经”，无费用退还）。车赴桐乡（车程约2.5小时），漫游【乌镇西栅】(游玩时间约3小时)，乌镇西栅真正呈现了原汁原味的江南水乡古镇的历史风貌，青石板的老街长弄，纵横的古桥，石雕木雕，处处流露出古镇的昔日繁华。【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早餐：含；午餐：含；晚餐：含；住宿：乌镇/桐乡</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桐乡→杭州-苏州(汽车)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车赴杭州（车程约1.5小时），游览【西湖风景区】(游览时间约90分钟，乘船环湖游西湖，深度赏西湖之美，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温馨提示：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午：游览中国最大的宋文化主题景区-【宋城景区+宋城千古情表演】（已升级包含：游玩时间约120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后车赴苏州周庄古镇（车程约2.5小时），游览素有“中国第一水乡”之誉的【周庄】已含电瓶车20元/人（游览约120分钟）：体验典型的小桥流水人家的江南水乡风情。夜游周庄，自由畅游夜水乡，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充满了诗意与韵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早餐：含；午餐：含；晚餐：不含；住宿：希尔顿或同级</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苏州→上海(汽车)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享用美味早餐后车赴市区，早餐后游览同“苏州拙政园、北京颐和园、承德避暑山庄“合称中国四大名园的苏州【留园】（游览时间约90分钟）：是苏州园林必去之园；庭院错落相连，镂空木窗透出季节的色彩，园内亭台楼阁、奇石曲廊，加上满园的绿意和一汪碧水池塘，一步一景，尽显江南苏州园林之美；在这里，可以体会一种园林山水之间的平淡气息；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船游【苏州古运河+评弹】（已升级包含，游览时间约1.5小时）：沿途欣赏盘门、胥门、金门、闾门等10座苏州古城门和风格不一的桥梁，许多桥洞下还配有精美的浮雕，船上还配有评弹演出，沿途讲解，在观光的同时领略苏州的历史典故，感受苏州古城的深厚文化内涵。车赴上海（车程约3小时），欣赏大上海璀璨之夜（已升级包含，游玩时间约120分钟）：登上海金贸大厦88层观光厅、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2025/08/14</w:t>
            </w:r>
          </w:p>
        </w:tc>
        <w:tc>
          <w:tcPr>
            <w:tcW w:w="2310" w:type="dxa"/>
            <w:gridSpan w:val="7"/>
          </w:tcPr>
          <w:p>
            <w:pPr/>
            <w:r>
              <w:rPr>
                <w:lang w:val="zh-CN"/>
                <w:rFonts w:ascii="Times New Roman" w:hAnsi="Times New Roman" w:cs="Times New Roman"/>
                <w:b/>
                <w:color w:val="000000"/>
              </w:rPr>
              <w:t>上海→昆明(自理)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游【外滩风光带】百年上海滩的标志和象征，万国建筑博览群、黄埔江风光；【南京路步行街】自由活动，老上海十里洋场，中华五星商业街，数以千计的大中小型商场，汇集了中国最全和最时尚的商品，自由观光（约2小时）根据时间送站。为游客提供三趟免费的机场/火车站接送站服务：首班车：早上酒店集合送站（您的航班或车次早于12：00我们将宾馆直接安排车送站，南京路自动放弃，无费用可退！）。中午班：12点左右，南京路集合出发。下午班：15点左右（全天最后一次免费送站），南京路集合发车。（因上海为国际化大都市，交通情况不稳定，国内出发提前4小时左右赴机场）。【温馨提示】1、散客拼团，导游需要送不同车次和航班抵达的客人，由于发车或起飞的时间和港口不同，导游会统一把客人送至火车站或机场，客人会出现2-3个小时的候车或候机时间，请客人理解并配合。2、免费送站地点仅为：火车站和机场，其他地点暂不提供！3、如遭遇法定节假日返程大交通建议比平日延后1小时；4、如您的航班或车次较晚，您可以选择自由活动后自行前往机场或者火车站，费用自理。5、接送站则不一定是导游，需客人自行办理登机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1、大交通： 全程正规旅游大巴车服务，保证一人一正座。座位次序为随机分配，不分先后，保证1人1正座，自由活动期间不包含用车。2、住宿服务：夜宿一晚乌镇外4钻，全程准五星级酒店（携程四钻），升级一晚国际品牌希尔顿酒店或同等级酒店。如产生单方差，客自行补房差；酒店报价是按照2人入住1间房计算，如您产生单房差，我们将尽量安排您与其他客人拼房入住。如团中未有同性游客拼住，还是会产生单房差费用。如您要求享受单房，请选择补交单人房差。3、餐饮服务：5早4正，早餐酒店含自助早餐，不用不退，正餐餐标40元/人；儿童不占床不含早餐4、门票服务：行程中所列景点首道门票，不含景区内小交通门票；5、导游服务：当地中文导游服务，接驳期间或自由活动期间不含导游服务。无全陪服务；6、儿童报价：儿童占床，不含自费，过去现付导游。儿童另外补费明细：补自费680元/人（宋城1.2以上收费，金茂1.0以上收费，苏州游船1.2以上收费。浦江1.3以上收费，仅供参考，按照景区实际收费为准）</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一价全含660元已升级包含1、苏州古运河：约1小时，价值：150元/人；2、上海夜景（登金茂大厦+黄浦江游船）：约2小时，价值：320元/人；3、宋城千古情：约2小时，价值：320元/人；儿童特别说明：儿童价格未包含以上三个项目超高请自理门票费用。自费景交西湖游船55元/人西湖接驳车20元/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2、出游过程中，如遇不可抗力因素造成景点未能正常游玩，导游经与客人协商后可根据实际情况取消或更换该景点，或由导游在现场按旅游产品中的门票价退还费用，退费不以景区挂牌价为准，敬请谅解。3、如遇路况原因等突发情况需要变更各集合时间的，届时以导游或随车人员公布为准。4、赠送项目，景区有权依自身承载能力以及天气因素等原因决定是否提供，客人亦可有权选择参加或者不参加。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游春英</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2025/8/9 23:48:42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