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云南云迹奇缘杨艳波</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杨艳波</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15925233115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谭超群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15912187764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BJ-QZY06CZ260705A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7-5全家总动员-北京天津双飞6日游（假日+欢朋）</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2026-07-05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8(5大3小)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2026-07-05  CZ8910 昆明→北京 19:15-22:40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2026-07-11  CZ3901 北京→昆明 08:50-12:2</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1、谢亚芳</w:t>
            </w:r>
          </w:p>
        </w:tc>
        <w:tc>
          <w:tcPr>
            <w:tcW w:w="2310" w:type="dxa"/>
            <w:vAlign w:val="center"/>
            <w:gridSpan w:val="2"/>
          </w:tcPr>
          <w:p>
            <w:pPr/>
            <w:r>
              <w:rPr>
                <w:lang w:val="zh-CN"/>
                <w:rFonts w:ascii="Times New Roman" w:hAnsi="Times New Roman" w:cs="Times New Roman"/>
                <w:sz w:val="20"/>
                <w:szCs w:val="20"/>
                <w:color w:val="000000"/>
              </w:rPr>
              <w:t>532801196607114526</w:t>
            </w:r>
          </w:p>
        </w:tc>
        <w:tc>
          <w:tcPr>
            <w:tcW w:w="2310" w:type="dxa"/>
            <w:vAlign w:val="center"/>
          </w:tcPr>
          <w:p>
            <w:pPr/>
            <w:r>
              <w:rPr>
                <w:lang w:val="zh-CN"/>
                <w:rFonts w:ascii="Times New Roman" w:hAnsi="Times New Roman" w:cs="Times New Roman"/>
                <w:sz w:val="20"/>
                <w:szCs w:val="20"/>
                <w:color w:val="000000"/>
              </w:rPr>
              <w:t>13987921447</w:t>
            </w:r>
          </w:p>
        </w:tc>
        <w:tc>
          <w:tcPr>
            <w:tcW w:w="2310" w:type="dxa"/>
            <w:vAlign w:val="center"/>
          </w:tcPr>
          <w:p>
            <w:pPr/>
            <w:r>
              <w:rPr>
                <w:lang w:val="zh-CN"/>
                <w:rFonts w:ascii="Times New Roman" w:hAnsi="Times New Roman" w:cs="Times New Roman"/>
                <w:sz w:val="20"/>
                <w:szCs w:val="20"/>
                <w:color w:val="000000"/>
              </w:rPr>
              <w:t>2、朱梓莹</w:t>
            </w:r>
          </w:p>
        </w:tc>
        <w:tc>
          <w:tcPr>
            <w:tcW w:w="2310" w:type="dxa"/>
            <w:vAlign w:val="center"/>
            <w:gridSpan w:val="2"/>
          </w:tcPr>
          <w:p>
            <w:pPr/>
            <w:r>
              <w:rPr>
                <w:lang w:val="zh-CN"/>
                <w:rFonts w:ascii="Times New Roman" w:hAnsi="Times New Roman" w:cs="Times New Roman"/>
                <w:sz w:val="20"/>
                <w:szCs w:val="20"/>
                <w:color w:val="000000"/>
              </w:rPr>
              <w:t>53280119960522002X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3、王艺瑾</w:t>
            </w:r>
          </w:p>
        </w:tc>
        <w:tc>
          <w:tcPr>
            <w:tcW w:w="2310" w:type="dxa"/>
            <w:vAlign w:val="center"/>
            <w:gridSpan w:val="2"/>
          </w:tcPr>
          <w:p>
            <w:pPr/>
            <w:r>
              <w:rPr>
                <w:lang w:val="zh-CN"/>
                <w:rFonts w:ascii="Times New Roman" w:hAnsi="Times New Roman" w:cs="Times New Roman"/>
                <w:sz w:val="20"/>
                <w:szCs w:val="20"/>
                <w:color w:val="000000"/>
              </w:rPr>
              <w:t>530802202010182422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4、吴春辉</w:t>
            </w:r>
          </w:p>
        </w:tc>
        <w:tc>
          <w:tcPr>
            <w:tcW w:w="2310" w:type="dxa"/>
            <w:vAlign w:val="center"/>
            <w:gridSpan w:val="2"/>
          </w:tcPr>
          <w:p>
            <w:pPr/>
            <w:r>
              <w:rPr>
                <w:lang w:val="zh-CN"/>
                <w:rFonts w:ascii="Times New Roman" w:hAnsi="Times New Roman" w:cs="Times New Roman"/>
                <w:sz w:val="20"/>
                <w:szCs w:val="20"/>
                <w:color w:val="000000"/>
              </w:rPr>
              <w:t>532701198701290036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5、吴雨璇</w:t>
            </w:r>
          </w:p>
        </w:tc>
        <w:tc>
          <w:tcPr>
            <w:tcW w:w="2310" w:type="dxa"/>
            <w:vAlign w:val="center"/>
            <w:gridSpan w:val="2"/>
          </w:tcPr>
          <w:p>
            <w:pPr/>
            <w:r>
              <w:rPr>
                <w:lang w:val="zh-CN"/>
                <w:rFonts w:ascii="Times New Roman" w:hAnsi="Times New Roman" w:cs="Times New Roman"/>
                <w:sz w:val="20"/>
                <w:szCs w:val="20"/>
                <w:color w:val="000000"/>
              </w:rPr>
              <w:t>530802201403260028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6、谢亚红</w:t>
            </w:r>
          </w:p>
        </w:tc>
        <w:tc>
          <w:tcPr>
            <w:tcW w:w="2310" w:type="dxa"/>
            <w:vAlign w:val="center"/>
            <w:gridSpan w:val="2"/>
          </w:tcPr>
          <w:p>
            <w:pPr/>
            <w:r>
              <w:rPr>
                <w:lang w:val="zh-CN"/>
                <w:rFonts w:ascii="Times New Roman" w:hAnsi="Times New Roman" w:cs="Times New Roman"/>
                <w:sz w:val="20"/>
                <w:szCs w:val="20"/>
                <w:color w:val="000000"/>
              </w:rPr>
              <w:t>53282119690204452X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7、赵敏捷</w:t>
            </w:r>
          </w:p>
        </w:tc>
        <w:tc>
          <w:tcPr>
            <w:tcW w:w="2310" w:type="dxa"/>
            <w:vAlign w:val="center"/>
            <w:gridSpan w:val="2"/>
          </w:tcPr>
          <w:p>
            <w:pPr/>
            <w:r>
              <w:rPr>
                <w:lang w:val="zh-CN"/>
                <w:rFonts w:ascii="Times New Roman" w:hAnsi="Times New Roman" w:cs="Times New Roman"/>
                <w:sz w:val="20"/>
                <w:szCs w:val="20"/>
                <w:color w:val="000000"/>
              </w:rPr>
              <w:t>532701199407150029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8、白艺雅</w:t>
            </w:r>
          </w:p>
        </w:tc>
        <w:tc>
          <w:tcPr>
            <w:tcW w:w="2310" w:type="dxa"/>
            <w:vAlign w:val="center"/>
            <w:gridSpan w:val="2"/>
          </w:tcPr>
          <w:p>
            <w:pPr/>
            <w:r>
              <w:rPr>
                <w:lang w:val="zh-CN"/>
                <w:rFonts w:ascii="Times New Roman" w:hAnsi="Times New Roman" w:cs="Times New Roman"/>
                <w:sz w:val="20"/>
                <w:szCs w:val="20"/>
                <w:color w:val="000000"/>
              </w:rPr>
              <w:t>530802201901312441</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5</w:t>
            </w:r>
          </w:p>
        </w:tc>
        <w:tc>
          <w:tcPr>
            <w:tcW w:w="2310" w:type="dxa"/>
          </w:tcPr>
          <w:p>
            <w:pPr/>
            <w:r>
              <w:rPr>
                <w:lang w:val="zh-CN"/>
                <w:rFonts w:ascii="Times New Roman" w:hAnsi="Times New Roman" w:cs="Times New Roman"/>
                <w:sz w:val="20"/>
                <w:szCs w:val="20"/>
                <w:color w:val="000000"/>
              </w:rPr>
              <w:t>5330.00</w:t>
            </w:r>
          </w:p>
        </w:tc>
        <w:tc>
          <w:tcPr>
            <w:tcW w:w="2310" w:type="dxa"/>
          </w:tcPr>
          <w:p>
            <w:pPr/>
            <w:r>
              <w:rPr>
                <w:lang w:val="zh-CN"/>
                <w:rFonts w:ascii="Times New Roman" w:hAnsi="Times New Roman" w:cs="Times New Roman"/>
                <w:sz w:val="20"/>
                <w:szCs w:val="20"/>
                <w:color w:val="000000"/>
              </w:rPr>
              <w:t>26650.00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5230.00</w:t>
            </w:r>
          </w:p>
        </w:tc>
        <w:tc>
          <w:tcPr>
            <w:tcW w:w="2310" w:type="dxa"/>
          </w:tcPr>
          <w:p>
            <w:pPr/>
            <w:r>
              <w:rPr>
                <w:lang w:val="zh-CN"/>
                <w:rFonts w:ascii="Times New Roman" w:hAnsi="Times New Roman" w:cs="Times New Roman"/>
                <w:sz w:val="20"/>
                <w:szCs w:val="20"/>
                <w:color w:val="000000"/>
              </w:rPr>
              <w:t>5230.00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小孩不占床</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4130.00</w:t>
            </w:r>
          </w:p>
        </w:tc>
        <w:tc>
          <w:tcPr>
            <w:tcW w:w="2310" w:type="dxa"/>
          </w:tcPr>
          <w:p>
            <w:pPr/>
            <w:r>
              <w:rPr>
                <w:lang w:val="zh-CN"/>
                <w:rFonts w:ascii="Times New Roman" w:hAnsi="Times New Roman" w:cs="Times New Roman"/>
                <w:sz w:val="20"/>
                <w:szCs w:val="20"/>
                <w:color w:val="000000"/>
              </w:rPr>
              <w:t>8260.00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总金额：肆万零壹佰肆拾元整</w:t>
            </w:r>
          </w:p>
        </w:tc>
        <w:tc>
          <w:tcPr>
            <w:tcW w:w="2310" w:type="dxa"/>
            <w:textDirection w:val="right"/>
            <w:gridSpan w:val="3"/>
          </w:tcPr>
          <w:p>
            <w:pPr/>
            <w:r>
              <w:rPr>
                <w:lang w:val="zh-CN"/>
                <w:rFonts w:ascii="Times New Roman" w:hAnsi="Times New Roman" w:cs="Times New Roman"/>
                <w:b/>
                <w:color w:val="FF0000"/>
              </w:rPr>
              <w:t>40140.00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2026/07/05</w:t>
            </w:r>
          </w:p>
        </w:tc>
        <w:tc>
          <w:tcPr>
            <w:tcW w:w="2310" w:type="dxa"/>
            <w:gridSpan w:val="7"/>
          </w:tcPr>
          <w:p>
            <w:pPr/>
            <w:r>
              <w:rPr>
                <w:lang w:val="zh-CN"/>
                <w:rFonts w:ascii="Times New Roman" w:hAnsi="Times New Roman" w:cs="Times New Roman"/>
                <w:b/>
                <w:color w:val="000000"/>
              </w:rPr>
              <w:t>昆明→北京/天津(飞机)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前往北京/天津，航班时间待定，我社接站人员会迎接您的到来，前往酒店休息。备注：入住酒店时，酒店均需收取一定押金，导游会代为支付，若损坏酒店物品丢失房卡等，需自行赔偿酒店损失，请您注意维护房间设施的完整，感谢您的配合。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2026/07/06</w:t>
            </w:r>
          </w:p>
        </w:tc>
        <w:tc>
          <w:tcPr>
            <w:tcW w:w="2310" w:type="dxa"/>
            <w:gridSpan w:val="7"/>
          </w:tcPr>
          <w:p>
            <w:pPr/>
            <w:r>
              <w:rPr>
                <w:lang w:val="zh-CN"/>
                <w:rFonts w:ascii="Times New Roman" w:hAnsi="Times New Roman" w:cs="Times New Roman"/>
                <w:b/>
                <w:color w:val="000000"/>
              </w:rPr>
              <w:t>天安门广场→故宫→首博或军博→前门大街(巴士)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全世界最大的城市中心广场【天安门广场】；瞻仰【人民英雄纪念碑】，外景【人民大会堂】【国家大剧院】。游览全世界最大的宫殿建筑群【故宫博物院】（约2.5小时，特别赠送故宫耳麦）（周一闭馆，门票为预约制，如未预约上门票则改为参观恭王府或者补偿300元/人，旅行社不承担任何责任）深度游览故宫，打卡延禧宫。特别安排乘坐【观光铛铛车】，游览北京非常著名的商业街【前门大街】。位于京城中轴线，北起前门月亮湾，南至天桥路口，与天桥南大街相连，明嘉靖二十九年（1550）建外城前是皇帝出城赴天坛、山川坛的御路，建外城后为外城主要南北街道。这里有非常多北京著名胡同，包括大栅栏，鲜鱼口，还有很多非常知名的老北京美食，天兴居，爆肚冯，都一处，东来顺，晚餐客人可以自行在胡同里寻找自己喜欢的美食，大快朵颐。前往北京最重要的文物收藏中心【首都博物馆】或者【军事博物馆】（如预约不上，替换成北京规划馆或其他博物馆或补偿100元/人），首都博物馆是中国最高等级的博物馆之一，首都北京几百年历史遗留下的皇家珍贵文物尽藏于此，让我们沉静内心，走在缤纷的国宝中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2026/07/07</w:t>
            </w:r>
          </w:p>
        </w:tc>
        <w:tc>
          <w:tcPr>
            <w:tcW w:w="2310" w:type="dxa"/>
            <w:gridSpan w:val="7"/>
          </w:tcPr>
          <w:p>
            <w:pPr/>
            <w:r>
              <w:rPr>
                <w:lang w:val="zh-CN"/>
                <w:rFonts w:ascii="Times New Roman" w:hAnsi="Times New Roman" w:cs="Times New Roman"/>
                <w:b/>
                <w:color w:val="000000"/>
              </w:rPr>
              <w:t>升旗→八达岭长城→飞跃长城→中国科技馆→鸟巢水立方(巴士)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上早起床，观庄严的【天安门升旗仪式】（因起床时间较早，根据游客自身情况，少数服从多数参观），后前往游览燕京八景之首居庸叠翠的【八达岭长城】（约2小时)体会“不到长城非好汉”的伟人气魄。之后前往6D高科技参与项目【飞跃长城】乘坐特制的推出式六自由度座椅经过PLC的编程控制和Maya的曲线校正，与座椅、影片及飞行体验完美结合。为观众带来飞速的上升、俯冲、左右闪躲、震动等丰富的动感体验。过程中那急速下降的失重感，快速穿梭在峡谷深渊中的刺激感，能让游客体验到无以伦比的凌空飞行感受。前往【中国科技馆】（门票实行预约制，提前一周约票，如预约不上替换成国家动物博物馆或补偿100元/人）以科学教育为主要功能，通过科学性、知识性、互动性相结合的展览展品和参与体验式的教育活动，反映科学原理及技术应用，鼓励公众探索实践，不仅普及科学知识，而且注重传播科学思想、科学方法和科学精神。在开展基于展览的教育活动同时，还组织各种科学实践和培训实验，让观众通过亲身参与，加深对科学与技术的理解和感悟，激发对科学的兴趣和好奇心，在潜移默化中提高科学素质。之后前往【鸟巢】【水立方】外景，以此为背景拍照留念，零距离体验2008激情、奥运情怀。晚餐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2026/07/08</w:t>
            </w:r>
          </w:p>
        </w:tc>
        <w:tc>
          <w:tcPr>
            <w:tcW w:w="2310" w:type="dxa"/>
            <w:gridSpan w:val="7"/>
          </w:tcPr>
          <w:p>
            <w:pPr/>
            <w:r>
              <w:rPr>
                <w:lang w:val="zh-CN"/>
                <w:rFonts w:ascii="Times New Roman" w:hAnsi="Times New Roman" w:cs="Times New Roman"/>
                <w:b/>
                <w:color w:val="000000"/>
              </w:rPr>
              <w:t>天坛（通票）→颐和园→学霸互动课程→北京外国语大学(巴士)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天坛公园】（含通票）天坛公园是世界最大的皇家祭祀建筑群，占地面积273公顷，明清两朝24位皇帝曾在此祭天，天坛公园的建筑不同于北京其他皇家建筑，主体都是呈现内圆外方的建筑格局，代表天圆地方，建筑颜色以蓝色为主，代表天的颜色，也是唯一一个等级高过故宫的皇家建筑。前往游览中国现存规模最大、保护最完整的皇家园林【颐和园】，晚清时期作为慈禧太后的颐养之地（约2小时），外观【清华大学】门口拍照留念（不入内）。特别安排【清北学霸面对面互动课程】：分享高效学习法、成长逆袭故事、备考避坑指南，现场答疑解惑。参观【北京外国语大学】（若遇校园临时关闭、政策管控等情况无法入校参观，将调换参观其他知名高校。），被誉为共和国外交官摇篮，是中国外语教育的最高学府，开设101种外语，覆盖全球主要语种，国际氛围浓厚。近距离感受顶尖外语学府的学术氛围与国际化视野。激发语言学习兴趣，树立外交、国际文化交流方向的成长目标。</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早餐：含；午餐：含；晚餐：含；住宿：天津</w:t>
            </w:r>
          </w:p>
        </w:tc>
      </w:tr>
      <w:tr>
        <w:tc>
          <w:tcPr>
            <w:tcW w:w="2310" w:type="dxa"/>
            <w:vAlign w:val="center"/>
            <w:vMerge w:val="restart"/>
          </w:tcPr>
          <w:p>
            <w:pPr/>
            <w:r>
              <w:rPr>
                <w:lang w:val="zh-CN"/>
                <w:rFonts w:ascii="Times New Roman" w:hAnsi="Times New Roman" w:cs="Times New Roman"/>
                <w:sz w:val="20"/>
                <w:szCs w:val="20"/>
                <w:color w:val="000000"/>
              </w:rPr>
              <w:t>2026/07/09</w:t>
            </w:r>
          </w:p>
        </w:tc>
        <w:tc>
          <w:tcPr>
            <w:tcW w:w="2310" w:type="dxa"/>
            <w:gridSpan w:val="7"/>
          </w:tcPr>
          <w:p>
            <w:pPr/>
            <w:r>
              <w:rPr>
                <w:lang w:val="zh-CN"/>
                <w:rFonts w:ascii="Times New Roman" w:hAnsi="Times New Roman" w:cs="Times New Roman"/>
                <w:b/>
                <w:color w:val="000000"/>
              </w:rPr>
              <w:t>环球影视城一日游(巴士)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北京环球主题公园】（又名北京环球影城主题公园）北京环球度假区七大主题景区分别为：功夫熊猫盖世之地、变形金刚基地、小黄人乐园、哈利·波特的魔法世界、侏罗纪世界努布拉岛、好莱坞、未来水世界（环球主题公园是美国环球电影公司旗下的大型主题公园，和迪斯尼主题乐园并称为世界娱乐主题乐园两大巨头。北京环球主题公园项目落地后，将是全球第5个开建的环球主题公园，也是国内首个环球主题公园）备注：入园当天中餐、晚餐自理，乐园内非常方便可购买到可口的快餐、小吃。游玩结束后，可根据我社通知时间至指定集合地点乘坐指定车辆返回或自行返回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早餐：含；午餐：不含；晚餐：不含；住宿：天津</w:t>
            </w:r>
          </w:p>
        </w:tc>
      </w:tr>
      <w:tr>
        <w:tc>
          <w:tcPr>
            <w:tcW w:w="2310" w:type="dxa"/>
            <w:vAlign w:val="center"/>
            <w:vMerge w:val="restart"/>
          </w:tcPr>
          <w:p>
            <w:pPr/>
            <w:r>
              <w:rPr>
                <w:lang w:val="zh-CN"/>
                <w:rFonts w:ascii="Times New Roman" w:hAnsi="Times New Roman" w:cs="Times New Roman"/>
                <w:sz w:val="20"/>
                <w:szCs w:val="20"/>
                <w:color w:val="000000"/>
              </w:rPr>
              <w:t>2026/07/10</w:t>
            </w:r>
          </w:p>
        </w:tc>
        <w:tc>
          <w:tcPr>
            <w:tcW w:w="2310" w:type="dxa"/>
            <w:gridSpan w:val="7"/>
          </w:tcPr>
          <w:p>
            <w:pPr/>
            <w:r>
              <w:rPr>
                <w:lang w:val="zh-CN"/>
                <w:rFonts w:ascii="Times New Roman" w:hAnsi="Times New Roman" w:cs="Times New Roman"/>
                <w:b/>
                <w:color w:val="000000"/>
              </w:rPr>
              <w:t>天津/北京→昆明(飞机)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早餐后送机场返回昆明，结束愉快的北京天津旅行！！！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1、住宿标准： 全程指定入住3晚假日酒店或环球度假区美仑酒店或环球度假区美居酒店+2晚天津希尔顿欢朋酒店，全程单房差费用自理。因酒店满房、不可抗力、班期调整等客观原因无法安排原定住宿时，旅行社将调整安排同等级别备选酒店入住。2、交通：昆明-北京/天津，往返飞机经济舱机票，当地空调旅游车。3、餐饮标准：行程所列5早4正，早餐酒店含，全程酒店自助早（由于出发时间或者客人自动放弃不用不退），全程社会餐厅用餐，餐标：30-60元不等；紫光园烤鸭+北京小吃+老边饺子宴+老门框爆肚涮肉+北京自助餐；【温馨提示】天津一日游行程含中餐及晚餐。若实际参团人数过少，导致无法正常安排集体用餐，旅行社将退还未发生餐食的对应费用，不另行赔付。4、门票服务：行程内所列各景点首道大门票（全程不退任何优免门票，敬请知悉）。5、导游服务：北京地接导游服务。6、儿童报价：仅含往返机票，全程半餐车，导服，不占床。含票行程请参照图片价格，如需占床需补单房差。</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1、购物说明：全程0购物0车销0麻花；2、自费说明：全程0自费；</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1、门票说明：本行程及报价均按景区优惠门票统一核算，所有人群及各类证件无二次优惠、无差价退费。行程所含故宫博物院、军事博物馆、中国科技馆等景点，均实行实名限量预约制度，需提前10天提交游客完整实名信息。如因景区预约名额已满，导致景点无法正常游览，将按以下方案进行景点置换或费用补偿：①故宫博物院：无法正常游览可更换为恭王府游览，或每人补偿300元；②首都博物馆或军事博物馆：可调换至北京规划展览馆等同级别可预约博物馆，或每人补偿100元；③中国科技馆：可调换至国家动物博物馆等同级别博物馆，或每人补偿100元。注：因场馆预约管控、名额受限等客观政策因素导致行程调整，属于不可控客观情况，旅行社不承担违约责任。2、行程说明：由于航班存在的不确定性及门票预约的不确定性，行程、景点游览顺序、游览时间仅供参考，具体以实际游览景区及顺序为准，我社有权在保证行程景点不变的情况下（景区关闭及门票未能约上，及不可抗力因素除外）对行程游览顺序予以调整，敬请谅解！3、参团须知：（1）出团时成人务必携带有效期内身份证原件，儿童务必携带户口本原件。民航系统实行改名限制，个人信息输入定座系统后无法更改，所以请游客确保提供的名字和身份证号码准确无误，若因游客提供的信息错误造成的损失，需由游客自行承担。（2）因不可抗力（包含但不仅限于自然灾害、政府政策因素等）造成游客行程变更，旅行社有权根据实际情况对行程予以调整。因此而增加的食宿及个人费用，由游客承担。（3）外出旅游，安全第一，旅游途中请听从导游人员安排，配合司机、导游工作。团友之间相互关照，少数服从多数。自由活动时，请注意人身及财产安全。（4）如果您对接待持有异议并有投诉意向，请于第一时间告知旅行社人员，争取能及时解决您的问题；同时意见反馈表作为旅行社处理投诉的重要依据，请务必认真填写并真实体现您的宝贵意见。（5）由于旅游行业特殊性，不同时段、地区、人数等因素报名，均可能导致价格差异，属于正常市场行为。为维护旅行社与游客的合法权益，旅行社建议游客在签订合同之前，在市场中多方对比价格，一旦签订合同即代表认可旅行社价格，旅行社不受理因同团价格不一致产生的投诉。特此申明，敬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杨艳波</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谭超群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2026/8/10 19:07:30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