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云南全季旅行社有限公司团队/散客确认件</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云南壹特诺文化传媒</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曹寅</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18988496890</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谭超群</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15912187764</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BJX06FJ261001A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10月1日礼赞北京双飞6天（大理起止）</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2026-10-01</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2026-10-06</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3(3大)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2026-10-01 JD5920 大理→北京大兴 19:45-23:00</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2026-10-06 JD5919 北京大兴→大理 06:55-10:5</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1、徐亚林</w:t>
            </w:r>
          </w:p>
        </w:tc>
        <w:tc>
          <w:tcPr>
            <w:tcW w:w="2310" w:type="dxa"/>
            <w:vAlign w:val="center"/>
            <w:gridSpan w:val="2"/>
          </w:tcPr>
          <w:p>
            <w:pPr/>
            <w:r>
              <w:rPr>
                <w:lang w:val="zh-CN"/>
                <w:rFonts w:ascii="Times New Roman" w:hAnsi="Times New Roman" w:cs="Times New Roman"/>
                <w:sz w:val="20"/>
                <w:szCs w:val="20"/>
                <w:color w:val="000000"/>
              </w:rPr>
              <w:t>513401198101183828</w:t>
            </w:r>
          </w:p>
        </w:tc>
        <w:tc>
          <w:tcPr>
            <w:tcW w:w="2310" w:type="dxa"/>
            <w:vAlign w:val="center"/>
          </w:tcPr>
          <w:p>
            <w:pPr/>
            <w:r>
              <w:rPr>
                <w:lang w:val="zh-CN"/>
                <w:rFonts w:ascii="Times New Roman" w:hAnsi="Times New Roman" w:cs="Times New Roman"/>
                <w:sz w:val="20"/>
                <w:szCs w:val="20"/>
                <w:color w:val="000000"/>
              </w:rPr>
              <w:t>13529380282</w:t>
            </w:r>
          </w:p>
        </w:tc>
        <w:tc>
          <w:tcPr>
            <w:tcW w:w="2310" w:type="dxa"/>
            <w:vAlign w:val="center"/>
          </w:tcPr>
          <w:p>
            <w:pPr/>
            <w:r>
              <w:rPr>
                <w:lang w:val="zh-CN"/>
                <w:rFonts w:ascii="Times New Roman" w:hAnsi="Times New Roman" w:cs="Times New Roman"/>
                <w:sz w:val="20"/>
                <w:szCs w:val="20"/>
                <w:color w:val="000000"/>
              </w:rPr>
              <w:t>2、张皓泽</w:t>
            </w:r>
          </w:p>
        </w:tc>
        <w:tc>
          <w:tcPr>
            <w:tcW w:w="2310" w:type="dxa"/>
            <w:vAlign w:val="center"/>
            <w:gridSpan w:val="2"/>
          </w:tcPr>
          <w:p>
            <w:pPr/>
            <w:r>
              <w:rPr>
                <w:lang w:val="zh-CN"/>
                <w:rFonts w:ascii="Times New Roman" w:hAnsi="Times New Roman" w:cs="Times New Roman"/>
                <w:sz w:val="20"/>
                <w:szCs w:val="20"/>
                <w:color w:val="000000"/>
              </w:rPr>
              <w:t>513401201907260233</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3、营国芳</w:t>
            </w:r>
          </w:p>
        </w:tc>
        <w:tc>
          <w:tcPr>
            <w:tcW w:w="2310" w:type="dxa"/>
            <w:vAlign w:val="center"/>
            <w:gridSpan w:val="2"/>
          </w:tcPr>
          <w:p>
            <w:pPr/>
            <w:r>
              <w:rPr>
                <w:lang w:val="zh-CN"/>
                <w:rFonts w:ascii="Times New Roman" w:hAnsi="Times New Roman" w:cs="Times New Roman"/>
                <w:sz w:val="20"/>
                <w:szCs w:val="20"/>
                <w:color w:val="000000"/>
              </w:rPr>
              <w:t>513401195510073829</w:t>
            </w:r>
          </w:p>
        </w:tc>
        <w:tc>
          <w:tcPr>
            <w:tcW w:w="2310" w:type="dxa"/>
            <w:vAlign w:val="center"/>
          </w:tcPr>
          <w:p>
            <w:pPr/>
          </w:p>
        </w:tc>
        <w:tc>
          <w:tcPr>
            <w:tcW w:w="2310" w:type="dxa"/>
            <w:vAlign w:val="center"/>
          </w:tcPr>
          <w:p>
            <w:pPr/>
          </w:p>
        </w:tc>
        <w:tc>
          <w:tcPr>
            <w:tcW w:w="2310" w:type="dxa"/>
            <w:vAlign w:val="center"/>
            <w:gridSpan w:val="2"/>
          </w:tcPr>
          <w:p>
            <w:pP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3</w:t>
            </w:r>
          </w:p>
        </w:tc>
        <w:tc>
          <w:tcPr>
            <w:tcW w:w="2310" w:type="dxa"/>
          </w:tcPr>
          <w:p>
            <w:pPr/>
            <w:r>
              <w:rPr>
                <w:lang w:val="zh-CN"/>
                <w:rFonts w:ascii="Times New Roman" w:hAnsi="Times New Roman" w:cs="Times New Roman"/>
                <w:sz w:val="20"/>
                <w:szCs w:val="20"/>
                <w:color w:val="000000"/>
              </w:rPr>
              <w:t>3780.00</w:t>
            </w:r>
          </w:p>
        </w:tc>
        <w:tc>
          <w:tcPr>
            <w:tcW w:w="2310" w:type="dxa"/>
          </w:tcPr>
          <w:p>
            <w:pPr/>
            <w:r>
              <w:rPr>
                <w:lang w:val="zh-CN"/>
                <w:rFonts w:ascii="Times New Roman" w:hAnsi="Times New Roman" w:cs="Times New Roman"/>
                <w:sz w:val="20"/>
                <w:szCs w:val="20"/>
                <w:color w:val="000000"/>
              </w:rPr>
              <w:t>11340.00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2</w:t>
            </w:r>
          </w:p>
        </w:tc>
        <w:tc>
          <w:tcPr>
            <w:tcW w:w="2310" w:type="dxa"/>
            <w:gridSpan w:val="2"/>
          </w:tcPr>
          <w:p>
            <w:pPr/>
            <w:r>
              <w:rPr>
                <w:lang w:val="zh-CN"/>
                <w:rFonts w:ascii="Times New Roman" w:hAnsi="Times New Roman" w:cs="Times New Roman"/>
                <w:sz w:val="20"/>
                <w:szCs w:val="20"/>
                <w:color w:val="000000"/>
              </w:rPr>
              <w:t>儿童减门票</w:t>
            </w:r>
          </w:p>
        </w:tc>
        <w:tc>
          <w:tcPr>
            <w:tcW w:w="2310" w:type="dxa"/>
          </w:tcPr>
          <w:p>
            <w:pPr/>
            <w:r>
              <w:rPr>
                <w:lang w:val="zh-CN"/>
                <w:rFonts w:ascii="Times New Roman" w:hAnsi="Times New Roman" w:cs="Times New Roman"/>
                <w:sz w:val="20"/>
                <w:szCs w:val="20"/>
                <w:color w:val="000000"/>
              </w:rPr>
              <w:t>1</w:t>
            </w:r>
          </w:p>
        </w:tc>
        <w:tc>
          <w:tcPr>
            <w:tcW w:w="2310" w:type="dxa"/>
          </w:tcPr>
          <w:p>
            <w:pPr/>
            <w:r>
              <w:rPr>
                <w:lang w:val="zh-CN"/>
                <w:rFonts w:ascii="Times New Roman" w:hAnsi="Times New Roman" w:cs="Times New Roman"/>
                <w:sz w:val="20"/>
                <w:szCs w:val="20"/>
                <w:color w:val="000000"/>
              </w:rPr>
              <w:t>-100.00</w:t>
            </w:r>
          </w:p>
        </w:tc>
        <w:tc>
          <w:tcPr>
            <w:tcW w:w="2310" w:type="dxa"/>
          </w:tcPr>
          <w:p>
            <w:pPr/>
            <w:r>
              <w:rPr>
                <w:lang w:val="zh-CN"/>
                <w:rFonts w:ascii="Times New Roman" w:hAnsi="Times New Roman" w:cs="Times New Roman"/>
                <w:sz w:val="20"/>
                <w:szCs w:val="20"/>
                <w:color w:val="000000"/>
              </w:rPr>
              <w:t>-100.00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总金额：壹万壹仟贰佰肆拾元整</w:t>
            </w:r>
          </w:p>
        </w:tc>
        <w:tc>
          <w:tcPr>
            <w:tcW w:w="2310" w:type="dxa"/>
            <w:textDirection w:val="right"/>
            <w:gridSpan w:val="3"/>
          </w:tcPr>
          <w:p>
            <w:pPr/>
            <w:r>
              <w:rPr>
                <w:lang w:val="zh-CN"/>
                <w:rFonts w:ascii="Times New Roman" w:hAnsi="Times New Roman" w:cs="Times New Roman"/>
                <w:b/>
                <w:color w:val="FF0000"/>
              </w:rPr>
              <w:t>11240.00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富滇银行股份有限公司昆明白塔支行</w:t>
            </w:r>
          </w:p>
        </w:tc>
        <w:tc>
          <w:tcPr>
            <w:tcW w:w="2310" w:type="dxa"/>
            <w:gridSpan w:val="2"/>
          </w:tcPr>
          <w:p>
            <w:pPr/>
            <w:r>
              <w:rPr>
                <w:lang w:val="zh-CN"/>
                <w:rFonts w:ascii="Times New Roman" w:hAnsi="Times New Roman" w:cs="Times New Roman"/>
                <w:sz w:val="20"/>
                <w:szCs w:val="20"/>
                <w:color w:val="000000"/>
              </w:rPr>
              <w:t>昆明康辉旅行社有限公司</w:t>
            </w:r>
          </w:p>
        </w:tc>
        <w:tc>
          <w:tcPr>
            <w:tcW w:w="2310" w:type="dxa"/>
            <w:gridSpan w:val="3"/>
          </w:tcPr>
          <w:p>
            <w:pPr/>
            <w:r>
              <w:rPr>
                <w:lang w:val="zh-CN"/>
                <w:rFonts w:ascii="Times New Roman" w:hAnsi="Times New Roman" w:cs="Times New Roman"/>
                <w:sz w:val="20"/>
                <w:szCs w:val="20"/>
                <w:color w:val="000000"/>
              </w:rPr>
              <w:t>927011010000838038</w:t>
            </w:r>
          </w:p>
        </w:tc>
      </w:tr>
      <w:tr>
        <w:tc>
          <w:tcPr>
            <w:tcW w:w="2310" w:type="dxa"/>
            <w:gridSpan w:val="3"/>
          </w:tcPr>
          <w:p>
            <w:pPr/>
            <w:r>
              <w:rPr>
                <w:lang w:val="zh-CN"/>
                <w:rFonts w:ascii="Times New Roman" w:hAnsi="Times New Roman" w:cs="Times New Roman"/>
                <w:sz w:val="20"/>
                <w:szCs w:val="20"/>
                <w:color w:val="000000"/>
              </w:rPr>
              <w:t>中国银行昆明市环城南路支行</w:t>
            </w:r>
          </w:p>
        </w:tc>
        <w:tc>
          <w:tcPr>
            <w:tcW w:w="2310" w:type="dxa"/>
            <w:gridSpan w:val="2"/>
          </w:tcPr>
          <w:p>
            <w:pPr/>
            <w:r>
              <w:rPr>
                <w:lang w:val="zh-CN"/>
                <w:rFonts w:ascii="Times New Roman" w:hAnsi="Times New Roman" w:cs="Times New Roman"/>
                <w:sz w:val="20"/>
                <w:szCs w:val="20"/>
                <w:color w:val="000000"/>
              </w:rPr>
              <w:t>王美</w:t>
            </w:r>
          </w:p>
        </w:tc>
        <w:tc>
          <w:tcPr>
            <w:tcW w:w="2310" w:type="dxa"/>
            <w:gridSpan w:val="3"/>
          </w:tcPr>
          <w:p>
            <w:pPr/>
            <w:r>
              <w:rPr>
                <w:lang w:val="zh-CN"/>
                <w:rFonts w:ascii="Times New Roman" w:hAnsi="Times New Roman" w:cs="Times New Roman"/>
                <w:sz w:val="20"/>
                <w:szCs w:val="20"/>
                <w:color w:val="000000"/>
              </w:rPr>
              <w:t>6217 9027 0000 6040 008</w:t>
            </w:r>
          </w:p>
        </w:tc>
      </w:tr>
      <w:tr>
        <w:tc>
          <w:tcPr>
            <w:tcW w:w="2310" w:type="dxa"/>
            <w:gridSpan w:val="3"/>
          </w:tcPr>
          <w:p>
            <w:pPr/>
            <w:r>
              <w:rPr>
                <w:lang w:val="zh-CN"/>
                <w:rFonts w:ascii="Times New Roman" w:hAnsi="Times New Roman" w:cs="Times New Roman"/>
                <w:sz w:val="20"/>
                <w:szCs w:val="20"/>
                <w:color w:val="000000"/>
              </w:rPr>
              <w:t>中国银行股份有限公司楚雄州开发区支行</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gridSpan w:val="3"/>
          </w:tcPr>
          <w:p>
            <w:pPr/>
            <w:r>
              <w:rPr>
                <w:lang w:val="zh-CN"/>
                <w:rFonts w:ascii="Times New Roman" w:hAnsi="Times New Roman" w:cs="Times New Roman"/>
                <w:sz w:val="20"/>
                <w:szCs w:val="20"/>
                <w:color w:val="000000"/>
              </w:rPr>
              <w:t>135686677700</w:t>
            </w:r>
          </w:p>
        </w:tc>
      </w:tr>
      <w:tr>
        <w:tc>
          <w:tcPr>
            <w:tcW w:w="2310" w:type="dxa"/>
            <w:gridSpan w:val="3"/>
          </w:tcPr>
          <w:p>
            <w:pPr/>
            <w:r>
              <w:rPr>
                <w:lang w:val="zh-CN"/>
                <w:rFonts w:ascii="Times New Roman" w:hAnsi="Times New Roman" w:cs="Times New Roman"/>
                <w:sz w:val="20"/>
                <w:szCs w:val="20"/>
                <w:color w:val="000000"/>
              </w:rPr>
              <w:t>中国银行昆明市北京路支行</w:t>
            </w:r>
          </w:p>
        </w:tc>
        <w:tc>
          <w:tcPr>
            <w:tcW w:w="2310" w:type="dxa"/>
            <w:gridSpan w:val="2"/>
          </w:tcPr>
          <w:p>
            <w:pPr/>
            <w:r>
              <w:rPr>
                <w:lang w:val="zh-CN"/>
                <w:rFonts w:ascii="Times New Roman" w:hAnsi="Times New Roman" w:cs="Times New Roman"/>
                <w:sz w:val="20"/>
                <w:szCs w:val="20"/>
                <w:color w:val="000000"/>
              </w:rPr>
              <w:t>北京嘻道国际旅行社有限公司云南分公司</w:t>
            </w:r>
          </w:p>
        </w:tc>
        <w:tc>
          <w:tcPr>
            <w:tcW w:w="2310" w:type="dxa"/>
            <w:gridSpan w:val="3"/>
          </w:tcPr>
          <w:p>
            <w:pPr/>
            <w:r>
              <w:rPr>
                <w:lang w:val="zh-CN"/>
                <w:rFonts w:ascii="Times New Roman" w:hAnsi="Times New Roman" w:cs="Times New Roman"/>
                <w:sz w:val="20"/>
                <w:szCs w:val="20"/>
                <w:color w:val="000000"/>
              </w:rPr>
              <w:t>134107986557</w:t>
            </w:r>
          </w:p>
        </w:tc>
      </w:tr>
      <w:tr>
        <w:tc>
          <w:tcPr>
            <w:tcW w:w="2310" w:type="dxa"/>
            <w:gridSpan w:val="3"/>
          </w:tcPr>
          <w:p>
            <w:pPr/>
            <w:r>
              <w:rPr>
                <w:lang w:val="zh-CN"/>
                <w:rFonts w:ascii="Times New Roman" w:hAnsi="Times New Roman" w:cs="Times New Roman"/>
                <w:sz w:val="20"/>
                <w:szCs w:val="20"/>
                <w:color w:val="000000"/>
              </w:rPr>
              <w:t>中国银行股份有限公司昆明市长水机场支行</w:t>
            </w:r>
          </w:p>
        </w:tc>
        <w:tc>
          <w:tcPr>
            <w:tcW w:w="2310" w:type="dxa"/>
            <w:gridSpan w:val="2"/>
          </w:tcPr>
          <w:p>
            <w:pPr/>
            <w:r>
              <w:rPr>
                <w:lang w:val="zh-CN"/>
                <w:rFonts w:ascii="Times New Roman" w:hAnsi="Times New Roman" w:cs="Times New Roman"/>
                <w:sz w:val="20"/>
                <w:szCs w:val="20"/>
                <w:color w:val="000000"/>
              </w:rPr>
              <w:t>海外国际旅游集团控股有限公司民航路飞扬分公司</w:t>
            </w:r>
          </w:p>
        </w:tc>
        <w:tc>
          <w:tcPr>
            <w:tcW w:w="2310" w:type="dxa"/>
            <w:gridSpan w:val="3"/>
          </w:tcPr>
          <w:p>
            <w:pPr/>
            <w:r>
              <w:rPr>
                <w:lang w:val="zh-CN"/>
                <w:rFonts w:ascii="Times New Roman" w:hAnsi="Times New Roman" w:cs="Times New Roman"/>
                <w:sz w:val="20"/>
                <w:szCs w:val="20"/>
                <w:color w:val="000000"/>
              </w:rPr>
              <w:t>137306471187</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2026/10/01</w:t>
            </w:r>
          </w:p>
        </w:tc>
        <w:tc>
          <w:tcPr>
            <w:tcW w:w="2310" w:type="dxa"/>
            <w:gridSpan w:val="7"/>
          </w:tcPr>
          <w:p>
            <w:pPr/>
            <w:r>
              <w:rPr>
                <w:lang w:val="zh-CN"/>
                <w:rFonts w:ascii="Times New Roman" w:hAnsi="Times New Roman" w:cs="Times New Roman"/>
                <w:b/>
                <w:color w:val="000000"/>
              </w:rPr>
              <w:t>大理→北京(飞机)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大理机场自行乘飞机经济舱赴北京，抵达后入住酒店。参考航班：JD5920   1945 2300 10月1号大理-北京 【小提示】1.出发前请携带有效期内的身份证件原件（以备火车站验票、办理登机牌及住宿所需）；2.请务必提供准确的联系方式，并保持手机开机状态；以便当地旅行社与您取得联系；3.因不可抗力因素（如火车/飞机晚点）造成的参观景点时间压缩，旅行社不承担相应连带责任，敬请谅解；4.自由活动期间一定结伴而行，以酒店附近为主。必要时及时联系导游或应急联系人；5.入住酒店检查房间设施，如有问题请立即告知酒店服务人员，遵守入住酒店规定。如需交押金，请自行保管好押金条；退房时，房间设施无损坏，前台自行办理退押金。</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早餐：不含；午餐：不含；晚餐：不含；住宿：北京</w:t>
            </w:r>
          </w:p>
        </w:tc>
      </w:tr>
      <w:tr>
        <w:tc>
          <w:tcPr>
            <w:tcW w:w="2310" w:type="dxa"/>
            <w:vAlign w:val="center"/>
            <w:vMerge w:val="restart"/>
          </w:tcPr>
          <w:p>
            <w:pPr/>
            <w:r>
              <w:rPr>
                <w:lang w:val="zh-CN"/>
                <w:rFonts w:ascii="Times New Roman" w:hAnsi="Times New Roman" w:cs="Times New Roman"/>
                <w:sz w:val="20"/>
                <w:szCs w:val="20"/>
                <w:color w:val="000000"/>
              </w:rPr>
              <w:t>2026/10/02</w:t>
            </w:r>
          </w:p>
        </w:tc>
        <w:tc>
          <w:tcPr>
            <w:tcW w:w="2310" w:type="dxa"/>
            <w:gridSpan w:val="7"/>
          </w:tcPr>
          <w:p>
            <w:pPr/>
            <w:r>
              <w:rPr>
                <w:lang w:val="zh-CN"/>
                <w:rFonts w:ascii="Times New Roman" w:hAnsi="Times New Roman" w:cs="Times New Roman"/>
                <w:b/>
                <w:color w:val="000000"/>
              </w:rPr>
              <w:t>毛纪/天安门广场/故宫博物院/恭王府/漫步什刹海(旅游巴士)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赴天安门广场（游览1.5小时）瞻仰雄伟的人民英雄纪念碑，外观人民大会堂。参观毛主席纪念堂（如遇政策闭馆或团队流量限流则改为观外景）游览【故宫博物院】（游览约3小时）宫旧称紫禁城，是我国现存规模最大、保存完整的古建筑群，也居世界五大宫之首。南半部以太和、中和、保和三大殿为中心，称为“前朝”，北半部以乾清、交泰、坤宁三宫及东西六宫和御花园为中心，称为“后寝”。赠送紫禁城内廷东六宫之一延禧宫，延禧宫初名长寿宫，清代又改名为延禧宫，明清两朝均为妃嫔所居。（温馨提示：若因故宫限流政策未能预约抢到故宫票，游客无法进入故宫游览的情况，我司将退门票为外观，感谢您的理解与支持）游览【恭王府】（游览1.5小时）中国国家一级博物馆，国家AAAAA级旅游景区，是清代规模最大的一座王府建筑群，曾先后作为清乾隆时期权臣和珅、清嘉庆时期庆僖亲王爱新觉罗·永璘的宅邸，咸丰元年（1851年）清廷赐封此宅邸于恭亲王爱新觉罗·奕訢，恭王府的名称也因此得来，故有“一座恭王府，半部清代史”。游览【漫步什刹海风景区】（游览1小时）逛老北京胡同游，感受浓浓的老北京市井文化，走进老北京保存最为完整的特色民居-四合院，探访一座中国传统文化的殿堂感受老北京生活的气息深刻见证老北京艺人历程，感受老北京风土人情。温馨提示：1、当天行程景点位于北京古老中轴线上，全天以步行为主。加之此中心区域为国家重要职能部门所在地，交通管制严格明确，单行道内不可随意停车。故步行路程较多，敬请提前做好心理准备，谢谢配合及理解。 2、故宫毛主席纪念堂周一闭馆。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2026/10/03</w:t>
            </w:r>
          </w:p>
        </w:tc>
        <w:tc>
          <w:tcPr>
            <w:tcW w:w="2310" w:type="dxa"/>
            <w:gridSpan w:val="7"/>
          </w:tcPr>
          <w:p>
            <w:pPr/>
            <w:r>
              <w:rPr>
                <w:lang w:val="zh-CN"/>
                <w:rFonts w:ascii="Times New Roman" w:hAnsi="Times New Roman" w:cs="Times New Roman"/>
                <w:b/>
                <w:color w:val="000000"/>
              </w:rPr>
              <w:t>升旗仪式/八达岭长城/水立方鸟巢外景/科技馆(旅游巴士)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打包，乘车赴天安门广场观庄严【升旗仪式】（如预约不上升旗则改为降旗，旅行社不承担任何责任）。前往延庆登【八达岭长城】（游览约3小时）八达岭长城是中国古代伟大的防御工程万里长城的一部分，以其宏伟的景观、完善的设施和深厚的文化历史内涵著称于世，八达岭长城史称天下九塞之一，是万里长城的精华，在明长城中，独具代表性。亲自登临气势磅礴的万里长城，极目远眺长城内外，祖国的大好河山尽收眼底，它像一条巨龙盘踞在祖国的北面，绵延数万里，纵贯两千年，雄伟壮观，体验“不到长城非好汉”的气魄，踏着历史的脊梁，叹远去的尘土飞扬，赞现今的繁华盛世，和谐太平，登长城做好汉，观长城内外祖国大好河山。游览【奥林匹克公园】（游览约1小时）近距离参观双奥场馆，感受风格各异、气势恢宏的奥运场馆建筑群：2008年北京夏季奥运会和2022年北京冬奥会两大标志性建筑物国家体育馆—鸟巢外景、国家游泳中心—⽔⽴⽅外景，自由拍照留念，外观“世界级建筑”更深入了解奥运盛会给我们带来的时代变化与奥运三大理念:人文奥运，绿色奥运、科技奥运。【中国科学技术馆】（如未约上票改为中国科学中心/中国光科技馆）设有“科学乐园”“华夏之光”“探索与发现”“科技与生活”“挑战与未来”五大主题展厅、公共空间展示区及球幕影院、巨幕影院、动感影院、4D影院等四个特效影院，将科学性、知识性、趣味性、互动性相结合。温馨提示：因升旗比较早和长城景区距离市区较远，出城堵车情况比较严重，需要提早出发，根据当日游客量导游会做合理安排，请配合。</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2026/10/04</w:t>
            </w:r>
          </w:p>
        </w:tc>
        <w:tc>
          <w:tcPr>
            <w:tcW w:w="2310" w:type="dxa"/>
            <w:gridSpan w:val="7"/>
          </w:tcPr>
          <w:p>
            <w:pPr/>
            <w:r>
              <w:rPr>
                <w:lang w:val="zh-CN"/>
                <w:rFonts w:ascii="Times New Roman" w:hAnsi="Times New Roman" w:cs="Times New Roman"/>
                <w:b/>
                <w:color w:val="000000"/>
              </w:rPr>
              <w:t>颐和园/军博/清华或北大外景/天坛公园(旅游巴士)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颐和园】（游览约3小时）颐和园是我国现存规模最大，保存最完整的皇家园林；是以昆明湖、万寿山为基址，以杭州西湖为本，汲取南园林的设计手法而建成的一座大型山水园，颐和园被誉为“皇家园林博物馆。特别安排【军事博物馆】（预约不上则取消参观，替换首都博物馆或其他博物馆）（约1.5小时）五十年代首都十大建筑之一，中国第一个综合类军事博物馆，馆藏文物以反映中国人民解放军军事史，中国古近代军事史和世界军事史为主。赠送车览“胸怀壮志梦”中国最高学府【清华大学或北京大学外景】游皇家祭天祈福地【天坛公园】（含通票，游览1.5小时左右）天坛公园为明、清两代帝王祭祀皇天、祈五谷丰登之场所。天坛 是圜丘、祈谷两坛的总称，有坛墙两重，形成内外坛，坛墙南方北圆，象征天圆地方。主要建筑在内坛，圜丘坛在南、祈谷坛在北，二坛同在一条南北轴线上，中间有墙相隔。圜丘坛内主要建筑有圜丘坛、皇穹宇等等，祈谷坛内主要建筑有祈年殿、皇乾殿、祈年门等。</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2026/10/05</w:t>
            </w:r>
          </w:p>
        </w:tc>
        <w:tc>
          <w:tcPr>
            <w:tcW w:w="2310" w:type="dxa"/>
            <w:gridSpan w:val="7"/>
          </w:tcPr>
          <w:p>
            <w:pPr/>
            <w:r>
              <w:rPr>
                <w:lang w:val="zh-CN"/>
                <w:rFonts w:ascii="Times New Roman" w:hAnsi="Times New Roman" w:cs="Times New Roman"/>
                <w:b/>
                <w:color w:val="000000"/>
              </w:rPr>
              <w:t>全天自由活动，不含餐车导游服务(无)</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全天自由活动，不含餐车导游服务。</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早餐：含；午餐：不含；晚餐：不含；住宿：北京</w:t>
            </w:r>
          </w:p>
        </w:tc>
      </w:tr>
      <w:tr>
        <w:tc>
          <w:tcPr>
            <w:tcW w:w="2310" w:type="dxa"/>
            <w:vAlign w:val="center"/>
            <w:vMerge w:val="restart"/>
          </w:tcPr>
          <w:p>
            <w:pPr/>
            <w:r>
              <w:rPr>
                <w:lang w:val="zh-CN"/>
                <w:rFonts w:ascii="Times New Roman" w:hAnsi="Times New Roman" w:cs="Times New Roman"/>
                <w:sz w:val="20"/>
                <w:szCs w:val="20"/>
                <w:color w:val="000000"/>
              </w:rPr>
              <w:t>2026/10/06</w:t>
            </w:r>
          </w:p>
        </w:tc>
        <w:tc>
          <w:tcPr>
            <w:tcW w:w="2310" w:type="dxa"/>
            <w:gridSpan w:val="7"/>
          </w:tcPr>
          <w:p>
            <w:pPr/>
            <w:r>
              <w:rPr>
                <w:lang w:val="zh-CN"/>
                <w:rFonts w:ascii="Times New Roman" w:hAnsi="Times New Roman" w:cs="Times New Roman"/>
                <w:b/>
                <w:color w:val="000000"/>
              </w:rPr>
              <w:t>北京-大理(飞机)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按照集合时间。适时乘车赴机场，结束旅行回归生活，或许启程时的期待感，返程时的归属感，才是旅行的意义，很期待下一次旅游。此行圆满结束！参考航班：JD5919   0655 1050 10月6号北京-大理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交通服务：大理→北京往返大交通含税，以实际出票为准！行李托运10公斤/人旅游期间空调旅游车（提示说明：26座以下车型均无行李箱），座位次序为随机分配，不分先后，保证1人1正座，自由活动期间不包含用车。2.餐饮标准：4早（部分早餐打包）6正，正餐30元/人/正，北京烤鸭餐、春饼宴、金殿自助餐、京味私房菜（十人一桌、八菜一汤，不含酒水、饮料；）特别安排一餐价值60元便宜坊烤鸭餐。      提示：全程餐食如因自身原因放弃用餐，则餐费不退。不占床儿童不含早餐。3.酒店服务：全程6环左右全季酒店或同等级酒店标准间，出现自然单间补房差。4、景点门票：行程内所列景点首道门票。景点小门票景交等自理。此产品已经按照最优惠旅行社协议门票价格核算，任何老年证、残疾证、军官证等特殊证件...无优惠差价可退，请知晓。5、导游服务：当地导游服务（接驳期间或自由活动期间不含导游服务）无全陪服务6、儿童标准：儿童价格含机票、大巴车费、半餐、半价门票。不占床，不含早餐。如需占床补床位费。小孩请携带户口本本人页原件。</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曹寅</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谭超群</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27</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2026/9/27 18:19:38</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