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禄丰龙城-陈丽红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陈丽红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13987810173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BH-CGT20250915C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9-15 盛世京华-双飞单卧10天（石家庄进扬州出）9C</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12(12大)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2025-09-24 9C8729 扬州→昆明 13:50-16:5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1、赵洁梅</w:t>
            </w:r>
          </w:p>
        </w:tc>
        <w:tc>
          <w:tcPr>
            <w:tcW w:w="2310" w:type="dxa"/>
            <w:vAlign w:val="center"/>
            <w:gridSpan w:val="2"/>
          </w:tcPr>
          <w:p>
            <w:pPr/>
            <w:r>
              <w:rPr>
                <w:lang w:val="zh-CN"/>
                <w:rFonts w:ascii="Times New Roman" w:hAnsi="Times New Roman" w:cs="Times New Roman"/>
                <w:sz w:val="20"/>
                <w:szCs w:val="20"/>
                <w:color w:val="000000"/>
              </w:rPr>
              <w:t>532331197011290022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2、陶丽琼</w:t>
            </w:r>
          </w:p>
        </w:tc>
        <w:tc>
          <w:tcPr>
            <w:tcW w:w="2310" w:type="dxa"/>
            <w:vAlign w:val="center"/>
            <w:gridSpan w:val="2"/>
          </w:tcPr>
          <w:p>
            <w:pPr/>
            <w:r>
              <w:rPr>
                <w:lang w:val="zh-CN"/>
                <w:rFonts w:ascii="Times New Roman" w:hAnsi="Times New Roman" w:cs="Times New Roman"/>
                <w:sz w:val="20"/>
                <w:szCs w:val="20"/>
                <w:color w:val="000000"/>
              </w:rPr>
              <w:t>532331197310010043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3、李春英</w:t>
            </w:r>
          </w:p>
        </w:tc>
        <w:tc>
          <w:tcPr>
            <w:tcW w:w="2310" w:type="dxa"/>
            <w:vAlign w:val="center"/>
            <w:gridSpan w:val="2"/>
          </w:tcPr>
          <w:p>
            <w:pPr/>
            <w:r>
              <w:rPr>
                <w:lang w:val="zh-CN"/>
                <w:rFonts w:ascii="Times New Roman" w:hAnsi="Times New Roman" w:cs="Times New Roman"/>
                <w:sz w:val="20"/>
                <w:szCs w:val="20"/>
                <w:color w:val="000000"/>
              </w:rPr>
              <w:t>532331196902280085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4、王菊美</w:t>
            </w:r>
          </w:p>
        </w:tc>
        <w:tc>
          <w:tcPr>
            <w:tcW w:w="2310" w:type="dxa"/>
            <w:vAlign w:val="center"/>
            <w:gridSpan w:val="2"/>
          </w:tcPr>
          <w:p>
            <w:pPr/>
            <w:r>
              <w:rPr>
                <w:lang w:val="zh-CN"/>
                <w:rFonts w:ascii="Times New Roman" w:hAnsi="Times New Roman" w:cs="Times New Roman"/>
                <w:sz w:val="20"/>
                <w:szCs w:val="20"/>
                <w:color w:val="000000"/>
              </w:rPr>
              <w:t>532331194404020046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5、李伟康</w:t>
            </w:r>
          </w:p>
        </w:tc>
        <w:tc>
          <w:tcPr>
            <w:tcW w:w="2310" w:type="dxa"/>
            <w:vAlign w:val="center"/>
            <w:gridSpan w:val="2"/>
          </w:tcPr>
          <w:p>
            <w:pPr/>
            <w:r>
              <w:rPr>
                <w:lang w:val="zh-CN"/>
                <w:rFonts w:ascii="Times New Roman" w:hAnsi="Times New Roman" w:cs="Times New Roman"/>
                <w:sz w:val="20"/>
                <w:szCs w:val="20"/>
                <w:color w:val="000000"/>
              </w:rPr>
              <w:t>532331194409060039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6、李忠华</w:t>
            </w:r>
          </w:p>
        </w:tc>
        <w:tc>
          <w:tcPr>
            <w:tcW w:w="2310" w:type="dxa"/>
            <w:vAlign w:val="center"/>
            <w:gridSpan w:val="2"/>
          </w:tcPr>
          <w:p>
            <w:pPr/>
            <w:r>
              <w:rPr>
                <w:lang w:val="zh-CN"/>
                <w:rFonts w:ascii="Times New Roman" w:hAnsi="Times New Roman" w:cs="Times New Roman"/>
                <w:sz w:val="20"/>
                <w:szCs w:val="20"/>
                <w:color w:val="000000"/>
              </w:rPr>
              <w:t>53233119640213003X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7、罗国刘</w:t>
            </w:r>
          </w:p>
        </w:tc>
        <w:tc>
          <w:tcPr>
            <w:tcW w:w="2310" w:type="dxa"/>
            <w:vAlign w:val="center"/>
            <w:gridSpan w:val="2"/>
          </w:tcPr>
          <w:p>
            <w:pPr/>
            <w:r>
              <w:rPr>
                <w:lang w:val="zh-CN"/>
                <w:rFonts w:ascii="Times New Roman" w:hAnsi="Times New Roman" w:cs="Times New Roman"/>
                <w:sz w:val="20"/>
                <w:szCs w:val="20"/>
                <w:color w:val="000000"/>
              </w:rPr>
              <w:t>532331195104050037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8、李炳华</w:t>
            </w:r>
          </w:p>
        </w:tc>
        <w:tc>
          <w:tcPr>
            <w:tcW w:w="2310" w:type="dxa"/>
            <w:vAlign w:val="center"/>
            <w:gridSpan w:val="2"/>
          </w:tcPr>
          <w:p>
            <w:pPr/>
            <w:r>
              <w:rPr>
                <w:lang w:val="zh-CN"/>
                <w:rFonts w:ascii="Times New Roman" w:hAnsi="Times New Roman" w:cs="Times New Roman"/>
                <w:sz w:val="20"/>
                <w:szCs w:val="20"/>
                <w:color w:val="000000"/>
              </w:rPr>
              <w:t>532331195607160019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9、李光琼</w:t>
            </w:r>
          </w:p>
        </w:tc>
        <w:tc>
          <w:tcPr>
            <w:tcW w:w="2310" w:type="dxa"/>
            <w:vAlign w:val="center"/>
            <w:gridSpan w:val="2"/>
          </w:tcPr>
          <w:p>
            <w:pPr/>
            <w:r>
              <w:rPr>
                <w:lang w:val="zh-CN"/>
                <w:rFonts w:ascii="Times New Roman" w:hAnsi="Times New Roman" w:cs="Times New Roman"/>
                <w:sz w:val="20"/>
                <w:szCs w:val="20"/>
                <w:color w:val="000000"/>
              </w:rPr>
              <w:t>530123196609183347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10、李伟云</w:t>
            </w:r>
          </w:p>
        </w:tc>
        <w:tc>
          <w:tcPr>
            <w:tcW w:w="2310" w:type="dxa"/>
            <w:vAlign w:val="center"/>
            <w:gridSpan w:val="2"/>
          </w:tcPr>
          <w:p>
            <w:pPr/>
            <w:r>
              <w:rPr>
                <w:lang w:val="zh-CN"/>
                <w:rFonts w:ascii="Times New Roman" w:hAnsi="Times New Roman" w:cs="Times New Roman"/>
                <w:sz w:val="20"/>
                <w:szCs w:val="20"/>
                <w:color w:val="000000"/>
              </w:rPr>
              <w:t>53011219510315131X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2580.00</w:t>
            </w:r>
          </w:p>
        </w:tc>
        <w:tc>
          <w:tcPr>
            <w:tcW w:w="2310" w:type="dxa"/>
          </w:tcPr>
          <w:p>
            <w:pPr/>
            <w:r>
              <w:rPr>
                <w:lang w:val="zh-CN"/>
                <w:rFonts w:ascii="Times New Roman" w:hAnsi="Times New Roman" w:cs="Times New Roman"/>
                <w:sz w:val="20"/>
                <w:szCs w:val="20"/>
                <w:color w:val="000000"/>
              </w:rPr>
              <w:t>30960.00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减少费用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-460.00</w:t>
            </w:r>
          </w:p>
        </w:tc>
        <w:tc>
          <w:tcPr>
            <w:tcW w:w="2310" w:type="dxa"/>
          </w:tcPr>
          <w:p>
            <w:pPr/>
            <w:r>
              <w:rPr>
                <w:lang w:val="zh-CN"/>
                <w:rFonts w:ascii="Times New Roman" w:hAnsi="Times New Roman" w:cs="Times New Roman"/>
                <w:sz w:val="20"/>
                <w:szCs w:val="20"/>
                <w:color w:val="000000"/>
              </w:rPr>
              <w:t>-460.00</w:t>
            </w:r>
          </w:p>
        </w:tc>
        <w:tc>
          <w:tcPr>
            <w:tcW w:w="2310" w:type="dxa"/>
            <w:gridSpan w:val="2"/>
          </w:tcPr>
          <w:p>
            <w:pPr/>
            <w:r>
              <w:rPr>
                <w:lang w:val="zh-CN"/>
                <w:rFonts w:ascii="Times New Roman" w:hAnsi="Times New Roman" w:cs="Times New Roman"/>
                <w:sz w:val="20"/>
                <w:szCs w:val="20"/>
                <w:color w:val="000000"/>
              </w:rPr>
              <w:t>赵洁梅不出回程</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总金额：叁万零伍佰元整</w:t>
            </w:r>
          </w:p>
        </w:tc>
        <w:tc>
          <w:tcPr>
            <w:tcW w:w="2310" w:type="dxa"/>
            <w:textDirection w:val="right"/>
            <w:gridSpan w:val="3"/>
          </w:tcPr>
          <w:p>
            <w:pPr/>
            <w:r>
              <w:rPr>
                <w:lang w:val="zh-CN"/>
                <w:rFonts w:ascii="Times New Roman" w:hAnsi="Times New Roman" w:cs="Times New Roman"/>
                <w:b/>
                <w:color w:val="FF0000"/>
              </w:rPr>
              <w:t>30500.00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昆明→石家庄(飞机)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天安门广场→故宫→景山公园→什刹海→前门大街(巴士)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升旗仪式→八达岭长城→鸟巢水立方冰丝带外景(巴士)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天坛公园（通票）→颐和园→军事博物馆或首博(巴士)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颐和园】世界上最美丽的皇家园林，是保存最完整的一座皇行宫御苑，被誉为“皇家园林博物馆”有山有水有画，十里青山行画里，双飞白鸟似江南的园林风光。前往清华/北大外景并拍照。前往【中国人民革命军事博物馆】或【首都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无锡三国城→耦园→周庄→七里山塘街(巴士)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珍珠博物馆→乌镇东栅→杭州船游西湖(巴士)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丝绸博物馆→中华艺术宫→外滩→南京路→城隍庙(巴士)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丝绸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餐，如果您对餐饮有较高需求请谨慎选择此产品。特色餐饮：京津段：文旅演艺餐【永乐家宴】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购物安排京津段：天津麻花不算购物店；（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游览顺序为参考游览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陈丽红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2025/9/28 17:04:40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