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万达版纳王丽坤</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王丽坤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13988110423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BJ-CGT20250922A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9-22尚品京城-北京天津双飞6日CZ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20(20大)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2025-09-22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2025-09-27 CZ3901 北京→昆明 08:50-12:2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1、彭若斯</w:t>
            </w:r>
          </w:p>
        </w:tc>
        <w:tc>
          <w:tcPr>
            <w:tcW w:w="2310" w:type="dxa"/>
            <w:vAlign w:val="center"/>
            <w:gridSpan w:val="2"/>
          </w:tcPr>
          <w:p>
            <w:pPr/>
            <w:r>
              <w:rPr>
                <w:lang w:val="zh-CN"/>
                <w:rFonts w:ascii="Times New Roman" w:hAnsi="Times New Roman" w:cs="Times New Roman"/>
                <w:sz w:val="20"/>
                <w:szCs w:val="20"/>
                <w:color w:val="000000"/>
              </w:rPr>
              <w:t>532801195710174135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2、谢秋云</w:t>
            </w:r>
          </w:p>
        </w:tc>
        <w:tc>
          <w:tcPr>
            <w:tcW w:w="2310" w:type="dxa"/>
            <w:vAlign w:val="center"/>
            <w:gridSpan w:val="2"/>
          </w:tcPr>
          <w:p>
            <w:pPr/>
            <w:r>
              <w:rPr>
                <w:lang w:val="zh-CN"/>
                <w:rFonts w:ascii="Times New Roman" w:hAnsi="Times New Roman" w:cs="Times New Roman"/>
                <w:sz w:val="20"/>
                <w:szCs w:val="20"/>
                <w:color w:val="000000"/>
              </w:rPr>
              <w:t>532801196110204120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3、夏昌美</w:t>
            </w:r>
          </w:p>
        </w:tc>
        <w:tc>
          <w:tcPr>
            <w:tcW w:w="2310" w:type="dxa"/>
            <w:vAlign w:val="center"/>
            <w:gridSpan w:val="2"/>
          </w:tcPr>
          <w:p>
            <w:pPr/>
            <w:r>
              <w:rPr>
                <w:lang w:val="zh-CN"/>
                <w:rFonts w:ascii="Times New Roman" w:hAnsi="Times New Roman" w:cs="Times New Roman"/>
                <w:sz w:val="20"/>
                <w:szCs w:val="20"/>
                <w:color w:val="000000"/>
              </w:rPr>
              <w:t>53280119600326411X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4、吴桂华</w:t>
            </w:r>
          </w:p>
        </w:tc>
        <w:tc>
          <w:tcPr>
            <w:tcW w:w="2310" w:type="dxa"/>
            <w:vAlign w:val="center"/>
            <w:gridSpan w:val="2"/>
          </w:tcPr>
          <w:p>
            <w:pPr/>
            <w:r>
              <w:rPr>
                <w:lang w:val="zh-CN"/>
                <w:rFonts w:ascii="Times New Roman" w:hAnsi="Times New Roman" w:cs="Times New Roman"/>
                <w:sz w:val="20"/>
                <w:szCs w:val="20"/>
                <w:color w:val="000000"/>
              </w:rPr>
              <w:t>532801195912104127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5、张勇光</w:t>
            </w:r>
          </w:p>
        </w:tc>
        <w:tc>
          <w:tcPr>
            <w:tcW w:w="2310" w:type="dxa"/>
            <w:vAlign w:val="center"/>
            <w:gridSpan w:val="2"/>
          </w:tcPr>
          <w:p>
            <w:pPr/>
            <w:r>
              <w:rPr>
                <w:lang w:val="zh-CN"/>
                <w:rFonts w:ascii="Times New Roman" w:hAnsi="Times New Roman" w:cs="Times New Roman"/>
                <w:sz w:val="20"/>
                <w:szCs w:val="20"/>
                <w:color w:val="000000"/>
              </w:rPr>
              <w:t>532801197008203716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6、曾桂英</w:t>
            </w:r>
          </w:p>
        </w:tc>
        <w:tc>
          <w:tcPr>
            <w:tcW w:w="2310" w:type="dxa"/>
            <w:vAlign w:val="center"/>
            <w:gridSpan w:val="2"/>
          </w:tcPr>
          <w:p>
            <w:pPr/>
            <w:r>
              <w:rPr>
                <w:lang w:val="zh-CN"/>
                <w:rFonts w:ascii="Times New Roman" w:hAnsi="Times New Roman" w:cs="Times New Roman"/>
                <w:sz w:val="20"/>
                <w:szCs w:val="20"/>
                <w:color w:val="000000"/>
              </w:rPr>
              <w:t>532801197006273745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7、夏淑华</w:t>
            </w:r>
          </w:p>
        </w:tc>
        <w:tc>
          <w:tcPr>
            <w:tcW w:w="2310" w:type="dxa"/>
            <w:vAlign w:val="center"/>
            <w:gridSpan w:val="2"/>
          </w:tcPr>
          <w:p>
            <w:pPr/>
            <w:r>
              <w:rPr>
                <w:lang w:val="zh-CN"/>
                <w:rFonts w:ascii="Times New Roman" w:hAnsi="Times New Roman" w:cs="Times New Roman"/>
                <w:sz w:val="20"/>
                <w:szCs w:val="20"/>
                <w:color w:val="000000"/>
              </w:rPr>
              <w:t>532801197006064126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8、刘军</w:t>
            </w:r>
          </w:p>
        </w:tc>
        <w:tc>
          <w:tcPr>
            <w:tcW w:w="2310" w:type="dxa"/>
            <w:vAlign w:val="center"/>
            <w:gridSpan w:val="2"/>
          </w:tcPr>
          <w:p>
            <w:pPr/>
            <w:r>
              <w:rPr>
                <w:lang w:val="zh-CN"/>
                <w:rFonts w:ascii="Times New Roman" w:hAnsi="Times New Roman" w:cs="Times New Roman"/>
                <w:sz w:val="20"/>
                <w:szCs w:val="20"/>
                <w:color w:val="000000"/>
              </w:rPr>
              <w:t>532801197305064142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9、罗荣华</w:t>
            </w:r>
          </w:p>
        </w:tc>
        <w:tc>
          <w:tcPr>
            <w:tcW w:w="2310" w:type="dxa"/>
            <w:vAlign w:val="center"/>
            <w:gridSpan w:val="2"/>
          </w:tcPr>
          <w:p>
            <w:pPr/>
            <w:r>
              <w:rPr>
                <w:lang w:val="zh-CN"/>
                <w:rFonts w:ascii="Times New Roman" w:hAnsi="Times New Roman" w:cs="Times New Roman"/>
                <w:sz w:val="20"/>
                <w:szCs w:val="20"/>
                <w:color w:val="000000"/>
              </w:rPr>
              <w:t>53280119660912375X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10、李建云</w:t>
            </w:r>
          </w:p>
        </w:tc>
        <w:tc>
          <w:tcPr>
            <w:tcW w:w="2310" w:type="dxa"/>
            <w:vAlign w:val="center"/>
            <w:gridSpan w:val="2"/>
          </w:tcPr>
          <w:p>
            <w:pPr/>
            <w:r>
              <w:rPr>
                <w:lang w:val="zh-CN"/>
                <w:rFonts w:ascii="Times New Roman" w:hAnsi="Times New Roman" w:cs="Times New Roman"/>
                <w:sz w:val="20"/>
                <w:szCs w:val="20"/>
                <w:color w:val="000000"/>
              </w:rPr>
              <w:t>532801196111104148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11、王永支</w:t>
            </w:r>
          </w:p>
        </w:tc>
        <w:tc>
          <w:tcPr>
            <w:tcW w:w="2310" w:type="dxa"/>
            <w:vAlign w:val="center"/>
            <w:gridSpan w:val="2"/>
          </w:tcPr>
          <w:p>
            <w:pPr/>
            <w:r>
              <w:rPr>
                <w:lang w:val="zh-CN"/>
                <w:rFonts w:ascii="Times New Roman" w:hAnsi="Times New Roman" w:cs="Times New Roman"/>
                <w:sz w:val="20"/>
                <w:szCs w:val="20"/>
                <w:color w:val="000000"/>
              </w:rPr>
              <w:t>532801196009104176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12、玉间香</w:t>
            </w:r>
          </w:p>
        </w:tc>
        <w:tc>
          <w:tcPr>
            <w:tcW w:w="2310" w:type="dxa"/>
            <w:vAlign w:val="center"/>
            <w:gridSpan w:val="2"/>
          </w:tcPr>
          <w:p>
            <w:pPr/>
            <w:r>
              <w:rPr>
                <w:lang w:val="zh-CN"/>
                <w:rFonts w:ascii="Times New Roman" w:hAnsi="Times New Roman" w:cs="Times New Roman"/>
                <w:sz w:val="20"/>
                <w:szCs w:val="20"/>
                <w:color w:val="000000"/>
              </w:rPr>
              <w:t>532801197405164140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13、李庆怡</w:t>
            </w:r>
          </w:p>
        </w:tc>
        <w:tc>
          <w:tcPr>
            <w:tcW w:w="2310" w:type="dxa"/>
            <w:vAlign w:val="center"/>
            <w:gridSpan w:val="2"/>
          </w:tcPr>
          <w:p>
            <w:pPr/>
            <w:r>
              <w:rPr>
                <w:lang w:val="zh-CN"/>
                <w:rFonts w:ascii="Times New Roman" w:hAnsi="Times New Roman" w:cs="Times New Roman"/>
                <w:sz w:val="20"/>
                <w:szCs w:val="20"/>
                <w:color w:val="000000"/>
              </w:rPr>
              <w:t>532801197311304122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14、玉庄丽</w:t>
            </w:r>
          </w:p>
        </w:tc>
        <w:tc>
          <w:tcPr>
            <w:tcW w:w="2310" w:type="dxa"/>
            <w:vAlign w:val="center"/>
            <w:gridSpan w:val="2"/>
          </w:tcPr>
          <w:p>
            <w:pPr/>
            <w:r>
              <w:rPr>
                <w:lang w:val="zh-CN"/>
                <w:rFonts w:ascii="Times New Roman" w:hAnsi="Times New Roman" w:cs="Times New Roman"/>
                <w:sz w:val="20"/>
                <w:szCs w:val="20"/>
                <w:color w:val="000000"/>
              </w:rPr>
              <w:t>532801197412124163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15、刘维红</w:t>
            </w:r>
          </w:p>
        </w:tc>
        <w:tc>
          <w:tcPr>
            <w:tcW w:w="2310" w:type="dxa"/>
            <w:vAlign w:val="center"/>
            <w:gridSpan w:val="2"/>
          </w:tcPr>
          <w:p>
            <w:pPr/>
            <w:r>
              <w:rPr>
                <w:lang w:val="zh-CN"/>
                <w:rFonts w:ascii="Times New Roman" w:hAnsi="Times New Roman" w:cs="Times New Roman"/>
                <w:sz w:val="20"/>
                <w:szCs w:val="20"/>
                <w:color w:val="000000"/>
              </w:rPr>
              <w:t>532801197510264127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16、李顺华</w:t>
            </w:r>
          </w:p>
        </w:tc>
        <w:tc>
          <w:tcPr>
            <w:tcW w:w="2310" w:type="dxa"/>
            <w:vAlign w:val="center"/>
            <w:gridSpan w:val="2"/>
          </w:tcPr>
          <w:p>
            <w:pPr/>
            <w:r>
              <w:rPr>
                <w:lang w:val="zh-CN"/>
                <w:rFonts w:ascii="Times New Roman" w:hAnsi="Times New Roman" w:cs="Times New Roman"/>
                <w:sz w:val="20"/>
                <w:szCs w:val="20"/>
                <w:color w:val="000000"/>
              </w:rPr>
              <w:t>532801197206210028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17、玉金</w:t>
            </w:r>
          </w:p>
        </w:tc>
        <w:tc>
          <w:tcPr>
            <w:tcW w:w="2310" w:type="dxa"/>
            <w:vAlign w:val="center"/>
            <w:gridSpan w:val="2"/>
          </w:tcPr>
          <w:p>
            <w:pPr/>
            <w:r>
              <w:rPr>
                <w:lang w:val="zh-CN"/>
                <w:rFonts w:ascii="Times New Roman" w:hAnsi="Times New Roman" w:cs="Times New Roman"/>
                <w:sz w:val="20"/>
                <w:szCs w:val="20"/>
                <w:color w:val="000000"/>
              </w:rPr>
              <w:t>532801197110284129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18、唐旺红</w:t>
            </w:r>
          </w:p>
        </w:tc>
        <w:tc>
          <w:tcPr>
            <w:tcW w:w="2310" w:type="dxa"/>
            <w:vAlign w:val="center"/>
            <w:gridSpan w:val="2"/>
          </w:tcPr>
          <w:p>
            <w:pPr/>
            <w:r>
              <w:rPr>
                <w:lang w:val="zh-CN"/>
                <w:rFonts w:ascii="Times New Roman" w:hAnsi="Times New Roman" w:cs="Times New Roman"/>
                <w:sz w:val="20"/>
                <w:szCs w:val="20"/>
                <w:color w:val="000000"/>
              </w:rPr>
              <w:t>432621196909280328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19、彭玉仙</w:t>
            </w:r>
          </w:p>
        </w:tc>
        <w:tc>
          <w:tcPr>
            <w:tcW w:w="2310" w:type="dxa"/>
            <w:vAlign w:val="center"/>
            <w:gridSpan w:val="2"/>
          </w:tcPr>
          <w:p>
            <w:pPr/>
            <w:r>
              <w:rPr>
                <w:lang w:val="zh-CN"/>
                <w:rFonts w:ascii="Times New Roman" w:hAnsi="Times New Roman" w:cs="Times New Roman"/>
                <w:sz w:val="20"/>
                <w:szCs w:val="20"/>
                <w:color w:val="000000"/>
              </w:rPr>
              <w:t>532801196307113724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20、张登福</w:t>
            </w:r>
          </w:p>
        </w:tc>
        <w:tc>
          <w:tcPr>
            <w:tcW w:w="2310" w:type="dxa"/>
            <w:vAlign w:val="center"/>
            <w:gridSpan w:val="2"/>
          </w:tcPr>
          <w:p>
            <w:pPr/>
            <w:r>
              <w:rPr>
                <w:lang w:val="zh-CN"/>
                <w:rFonts w:ascii="Times New Roman" w:hAnsi="Times New Roman" w:cs="Times New Roman"/>
                <w:sz w:val="20"/>
                <w:szCs w:val="20"/>
                <w:color w:val="000000"/>
              </w:rPr>
              <w:t>53280119600501371X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20</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64000.00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总金额：陆万肆仟元整</w:t>
            </w:r>
          </w:p>
        </w:tc>
        <w:tc>
          <w:tcPr>
            <w:tcW w:w="2310" w:type="dxa"/>
            <w:textDirection w:val="right"/>
            <w:gridSpan w:val="3"/>
          </w:tcPr>
          <w:p>
            <w:pPr/>
            <w:r>
              <w:rPr>
                <w:lang w:val="zh-CN"/>
                <w:rFonts w:ascii="Times New Roman" w:hAnsi="Times New Roman" w:cs="Times New Roman"/>
                <w:b/>
                <w:color w:val="FF0000"/>
              </w:rPr>
              <w:t>64000.00</w:t>
            </w:r>
          </w:p>
        </w:tc>
      </w:tr>
      <w:tr>
        <w:tc>
          <w:tcPr>
            <w:tcW w:w="2310" w:type="dxa"/>
            <w:gridSpan w:val="8"/>
          </w:tcPr>
          <w:p>
            <w:pPr/>
            <w:r>
              <w:rPr>
                <w:lang w:val="zh-CN"/>
                <w:rFonts w:ascii="Times New Roman" w:hAnsi="Times New Roman" w:cs="Times New Roman"/>
                <w:sz w:val="20"/>
                <w:szCs w:val="20"/>
                <w:color w:val="000000"/>
              </w:rPr>
              <w:t>含版纳往返动车及接送</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指定时间自行前往昆明长水机场，乘机前往——北京。抵达后，接站，乘车前往酒店入住，全天用餐自理。（航班待定，以实际出票为准）【温馨提示】请您及时关注出发当天的实时天气及沿途路况交通信息，提前做好出行准备；请携带好有效身份证原件在航班起飞前2小时到达景洪机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天坛（通票）→颐和园 →军事博物馆（周一闭馆）(巴士)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早餐后，游览明清两代北京最大的祭祀性场所——【天坛通票】（含祈年殿、回音壁，约90分钟）；游览我国现存规模最大、保存最完整的皇家园林、中国四大名园之一、被誉为皇家园林博物馆——  【颐和园】（约90分钟），外观【中华世纪坛】、【中央电视塔】，途经【明城墙遗址公园】(是  老北京的重要象征，随着人事的变迁，如今北京城内仅存两处明城墙)，参观【军事博物馆】(周一  闭馆)，入住酒店。【小贴示】：今日行程较为轻松，前门大街游客较多，请妥善保管好随身物品，以防丢失。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天安门广场→人民英雄纪念碑 →毛主席纪念堂（周一闭馆或政策性闭馆改  为外观）→故宫博物院（周一闭馆）→步行游老北京胡同（沿途观什刹海、 后海）→恭王府通票→鸟巢夜景(巴士)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上最大的城市中心广场——天安门广场,【毛主席纪念堂】（周一闭馆，如遇政策性关闭或预约不上则改为外观），瞻仰【人民英雄纪念碑】，外观【人民大会堂】、【国家大剧院】；参观现存世界上最大的皇家宫殿建筑群——【故宫博物院】(周一闭馆，此景区限流并需要提前预约，如预约不成功则改为其他景点或退门票)；步行【游老北京胡同】（约30分钟）,可沿途欣赏【什刹海】、【后海】，游览北京非常著名商业街【前门大街】，明、清至民国时皆称正阳门大街，【恭王府通票】（约 60分钟），晚欣赏【鸟巢夜景】。【小贴示】：今日游览中轴线，主要以步行为主，步行时间长，尽量着装轻便，穿舒适的鞋子 ；天安门广场人流量拥挤，请保管好随身物品。建议结伴而行、记好导游电话谨访走失。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观升国旗仪式 →八达岭长城→飞跃长城→奥林匹克公园（外观鸟巢、水立方）→杂 技（秦乐宫或红剧场）(巴士)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观【升旗仪式】，前往举世闻名的【八达岭长城】（约90～120分钟），登好汉坡，一览长城磅礴气势，赠送好汉证书；前往6D高科技参与项目【飞跃长城】乘坐特制的推出式六自由度座椅经过PLC的编程控制和Maya的曲线校正，与座椅、影片及飞行体验完美结合。为观众带来飞速的上升、俯冲、左右闪躲、震动等丰富的动感体验。过程中那急速下降的失重感，快速穿梭在峡谷深渊中的刺激感，能让游客体验到无以伦比的凌空飞行感受。前往【奥林匹克公园】，外观【鸟巢】、【水立方】，晚欣赏中华绝技【杂技】（秦乐宫或红剧场，约1小时）。【小贴示】：1、今日起床时间较早，前一晚请尽早休息保持充足的睡眠。2、爬长城，好汉坡路况较陡注意脚下安全，建议穿舒适、轻便、鞋底摩擦力大的鞋子。  前往清华科技园参与【清华北大学霸互动课程】游览清华科技园，学霸面对面互动学习交流；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周邓纪念馆→天津意大利风情街 →古文化街→金街 →极地海洋馆(巴士)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早餐后，乘车赴天津，游览【周邓纪念馆】（约40分钟），游览【意大利风情街】，途经可观奥  运会足球比赛场馆—水滴、天津电视塔、万国博览城、袁世凯故居、奥匈领事馆、世纪钟、万国桥；游古文化街，欣赏民间手工艺术绝活—泥人张、风筝魏、杨柳青年画；逛食品街可自费品尝天津特  色小吃：“十八街麻花”、“耳朵眼炸糕”；逛“金街”，始建于1902年，原名杜领事路、罗斯  福路，1953年取“热爱和平”之意更名“和平路”，是近代天津商业的摇篮，天津繁荣的象征，也曾是天津人的骄傲。2000年9月，改造后的和平路商业街与滨江道连成一个“金十字”，取名  为“金街”。“黄金之街”寸土寸金的“金”，与“天津”的“津”读音相同，富于美好的祝颂之  意。参观【极地海洋馆】（约2小时），入住酒店。【小贴示】：天津-北京约133公里，车程需2小时左右，乘车时间略长，如有晕车的游客可提前吃点晕车药。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北京→版纳（飞机）(飞机)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，根据航班时间乘机返回昆明，结束愉快的旅途，自行返回温馨的家！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行程接待 标准交通版纳—北京往返机票及机场建设费、燃油附加费（进出港根据机票申请实际情况调整）， 当地空调旅游车（按实际人数进行配车，确保1人1正座）。住宿全程入住汉庭或格林豪泰酒店标准，产生单房差自理。餐饮行程内含5早8正餐 ，早餐安排热早餐（不吃不退），正餐8菜1汤/桌 ，10人/桌（不含酒水，不足10人/桌菜数相应减少，如因自身原因放弃用餐，则餐费不退，行程中备注不含的用餐敬请自理）。全聚德烤鸭60、东来顺50、老根山庄40、长城自助餐 30、春饼宴30、其他餐标30门票行程中所列景点的第一大门票（不含景区内电瓶车、索道及园中园门票）。注：此行程价格为优惠后的打包价格，客人持特殊证件（如老年证、军官证、记者证、学生证、残疾证等）均无任何优惠及减免退费 ，未产生的费用一律不退。导服当地优秀中文导游服务。</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一价全含，全程0购物店0自费，无暗店或隐形店。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一、用餐1、旅游在外，吃的一定没有家里的好，有可能口味差异，环境不同等，建议大家可以自备一些咸菜。2、旺季时餐厅也存在排队等候用餐的现象，请您给予理解和配合，耐心等待。早餐由酒店免费提供，不用不退。散客拼团，不好安排特殊需求用餐，少数民族或者有特殊饮食习惯的游客用餐敬请自理。二、住宿1、入住酒店请把贵重物品随身携带，钱、手机、身份证、金银首饰等请贴身保管，如有丢失旅行社概不负责，但愿帮助游客协调处理相关事宜。2、酒店为客人准备的是双人标准间，团队中出现自然单男单女，尽量协调安排三人标间或加床处理，如无法加床，请团员务必配合轮流拆开夫妻拼房；如无法加床且无三人间的情况下，客人按实际产生费用现补单房差。三、行1、团队机票，不可改签、退票！出发前请务必携带好个人有效证件（身份证证等）；如因旅游者提供的证件信息不实不详造成的所有损失由旅游者承担。旅行社不承担责任。2、旅游期间行程比较辛苦，在旅游时都会在早上的5点起床，6点发车，或者更早，因为行车的早高峰在8:00-9:30左右容易堵车，所以我社为了避免影响大家正常的出游，会提前开车出发，早起望大家谅解。3、同意我社导游或全陪视具体情况合理调整行程中景点游玩顺序，但不减少行程中景点数量。4、行程中请服从导游安排，不要自作主张，脱离团队，入住酒店后请不要独自外出，有任何事情请及时联系导游四、门票1、报价中已含行程中所列景点首道大门票，所有门票均为提前预定，因个人原因不去扣减损失，退还剩余部分2、旅行社赠送的景点或项目报价时均未收取游客费用，属旅行社附属项目。如遇特殊情况不能参加，游客在知情的情况下不退费用。五、景点游览1、在旅游活动中，请大家遵守纪律，顾全大局，不得单独行动，不打招呼就行动，一旦掉队，请及时和导游联系或到导游指定的位置等侯，不得影响其他游客正常的旅游次序。出门在外，安全第一！2、因景区内游客人数众多，每到一个景点，请大家跟紧导游，认真听导游讲解，导游讲解完后，会给大家照相和选购纪念品的时间。六、特别注意1、如有人力不可抗拒因素所产生费用游客自己承担，游客因个人原因临时放弃游览，酒店住宿、餐、车等费用均不能退还，请游客予以谅解。2、游客自行前往的购物店所购商品出现质量问题旅行社不承担任何责任；建议购物时慎重考虑、把握好质量与价格在当地购物时要开具发票并妥善保管。本人（代表）已仔细阅读此行程内容并知晓上述“游客告知书”及所有内容，无异议，自愿签字并同意作为合同附件！客人联系电话：、人数:合同编号:客人签字确认:、日期:坚守品质，完善服务，让跟团旅行持续美好！！！</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王丽坤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2025/9/19 17:21:24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