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孙玉兰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18088492165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缪志兵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18987112632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BJ-CGT20250917B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9-17优品京城北京天津双飞6日游CZ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2025-09-17 CZ8870  昆明→北京 16:50-20:15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2025-09-22 CZ8909 北京→昆明 14:30-17:4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；如您对早餐有特别需求，请谨慎选择此产品），正餐餐标：25-80元/人不等；特别安排北京文旅演艺主题餐【宫廷盛宴】品便宜坊烤鸭+赏宫廷演艺+惊喜大互动+换装打卡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孙玉兰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缪志兵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2025/9/10 16:23:36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