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云南尚睿天城国际旅行社-海之旅 行程确认单团队/散客确认件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组团人</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云南尚睿天城国际旅行社-海之旅 行程确认单</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13759116175</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HNC20260713-S01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2026三亚真纯玩亚特赶海记-三选一版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2026-07-13 8L9965 昆明→三亚 09:05-11:10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2026-07-17 8L9966 三亚→昆明 12:05-14:1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1、马宇</w:t>
            </w:r>
          </w:p>
        </w:tc>
        <w:tc>
          <w:tcPr>
            <w:tcW w:w="2310" w:type="dxa"/>
            <w:vAlign w:val="center"/>
            <w:gridSpan w:val="2"/>
          </w:tcPr>
          <w:p>
            <w:pPr/>
            <w:r>
              <w:rPr>
                <w:lang w:val="zh-CN"/>
                <w:rFonts w:ascii="Times New Roman" w:hAnsi="Times New Roman" w:cs="Times New Roman"/>
                <w:sz w:val="20"/>
                <w:szCs w:val="20"/>
                <w:color w:val="000000"/>
              </w:rPr>
              <w:t>532524199402011840</w:t>
            </w:r>
          </w:p>
        </w:tc>
        <w:tc>
          <w:tcPr>
            <w:tcW w:w="2310" w:type="dxa"/>
            <w:vAlign w:val="center"/>
          </w:tcPr>
          <w:p>
            <w:pPr/>
            <w:r>
              <w:rPr>
                <w:lang w:val="zh-CN"/>
                <w:rFonts w:ascii="Times New Roman" w:hAnsi="Times New Roman" w:cs="Times New Roman"/>
                <w:sz w:val="20"/>
                <w:szCs w:val="20"/>
                <w:color w:val="000000"/>
              </w:rPr>
              <w:t>13577304822</w:t>
            </w:r>
          </w:p>
        </w:tc>
        <w:tc>
          <w:tcPr>
            <w:tcW w:w="2310" w:type="dxa"/>
            <w:vAlign w:val="center"/>
          </w:tcPr>
          <w:p>
            <w:pPr/>
            <w:r>
              <w:rPr>
                <w:lang w:val="zh-CN"/>
                <w:rFonts w:ascii="Times New Roman" w:hAnsi="Times New Roman" w:cs="Times New Roman"/>
                <w:sz w:val="20"/>
                <w:szCs w:val="20"/>
                <w:color w:val="000000"/>
              </w:rPr>
              <w:t>2、马苏黛尔</w:t>
            </w:r>
          </w:p>
        </w:tc>
        <w:tc>
          <w:tcPr>
            <w:tcW w:w="2310" w:type="dxa"/>
            <w:vAlign w:val="center"/>
            <w:gridSpan w:val="2"/>
          </w:tcPr>
          <w:p>
            <w:pPr/>
            <w:r>
              <w:rPr>
                <w:lang w:val="zh-CN"/>
                <w:rFonts w:ascii="Times New Roman" w:hAnsi="Times New Roman" w:cs="Times New Roman"/>
                <w:sz w:val="20"/>
                <w:szCs w:val="20"/>
                <w:color w:val="000000"/>
              </w:rPr>
              <w:t>532524201210150344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3、马苏迪拉</w:t>
            </w:r>
          </w:p>
        </w:tc>
        <w:tc>
          <w:tcPr>
            <w:tcW w:w="2310" w:type="dxa"/>
            <w:vAlign w:val="center"/>
            <w:gridSpan w:val="2"/>
          </w:tcPr>
          <w:p>
            <w:pPr/>
            <w:r>
              <w:rPr>
                <w:lang w:val="zh-CN"/>
                <w:rFonts w:ascii="Times New Roman" w:hAnsi="Times New Roman" w:cs="Times New Roman"/>
                <w:sz w:val="20"/>
                <w:szCs w:val="20"/>
                <w:color w:val="000000"/>
              </w:rPr>
              <w:t>532524201509200326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3010.00</w:t>
            </w:r>
          </w:p>
        </w:tc>
        <w:tc>
          <w:tcPr>
            <w:tcW w:w="2310" w:type="dxa"/>
          </w:tcPr>
          <w:p>
            <w:pPr/>
            <w:r>
              <w:rPr>
                <w:lang w:val="zh-CN"/>
                <w:rFonts w:ascii="Times New Roman" w:hAnsi="Times New Roman" w:cs="Times New Roman"/>
                <w:sz w:val="20"/>
                <w:szCs w:val="20"/>
                <w:color w:val="000000"/>
              </w:rPr>
              <w:t>6020.00</w:t>
            </w:r>
          </w:p>
        </w:tc>
        <w:tc>
          <w:tcPr>
            <w:tcW w:w="2310" w:type="dxa"/>
            <w:gridSpan w:val="2"/>
          </w:tcPr>
          <w:p>
            <w:pPr/>
            <w:r>
              <w:rPr>
                <w:lang w:val="zh-CN"/>
                <w:rFonts w:ascii="Times New Roman" w:hAnsi="Times New Roman" w:cs="Times New Roman"/>
                <w:sz w:val="20"/>
                <w:szCs w:val="20"/>
                <w:color w:val="000000"/>
              </w:rPr>
              <w:t>3660-650</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2650.00</w:t>
            </w:r>
          </w:p>
        </w:tc>
        <w:tc>
          <w:tcPr>
            <w:tcW w:w="2310" w:type="dxa"/>
          </w:tcPr>
          <w:p>
            <w:pPr/>
            <w:r>
              <w:rPr>
                <w:lang w:val="zh-CN"/>
                <w:rFonts w:ascii="Times New Roman" w:hAnsi="Times New Roman" w:cs="Times New Roman"/>
                <w:sz w:val="20"/>
                <w:szCs w:val="20"/>
                <w:color w:val="000000"/>
              </w:rPr>
              <w:t>2650.00</w:t>
            </w:r>
          </w:p>
        </w:tc>
        <w:tc>
          <w:tcPr>
            <w:tcW w:w="2310" w:type="dxa"/>
            <w:gridSpan w:val="2"/>
          </w:tcPr>
          <w:p>
            <w:pPr/>
            <w:r>
              <w:rPr>
                <w:lang w:val="zh-CN"/>
                <w:rFonts w:ascii="Times New Roman" w:hAnsi="Times New Roman" w:cs="Times New Roman"/>
                <w:sz w:val="20"/>
                <w:szCs w:val="20"/>
                <w:color w:val="000000"/>
              </w:rPr>
              <w:t>2650-300+300门票</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不含正餐</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-80.00</w:t>
            </w:r>
          </w:p>
        </w:tc>
        <w:tc>
          <w:tcPr>
            <w:tcW w:w="2310" w:type="dxa"/>
          </w:tcPr>
          <w:p>
            <w:pPr/>
            <w:r>
              <w:rPr>
                <w:lang w:val="zh-CN"/>
                <w:rFonts w:ascii="Times New Roman" w:hAnsi="Times New Roman" w:cs="Times New Roman"/>
                <w:sz w:val="20"/>
                <w:szCs w:val="20"/>
                <w:color w:val="000000"/>
              </w:rPr>
              <w:t>-240.00</w:t>
            </w:r>
          </w:p>
        </w:tc>
        <w:tc>
          <w:tcPr>
            <w:tcW w:w="2310" w:type="dxa"/>
            <w:gridSpan w:val="2"/>
          </w:tcPr>
          <w:p>
            <w:pPr/>
            <w:r>
              <w:rPr>
                <w:lang w:val="zh-CN"/>
                <w:rFonts w:ascii="Times New Roman" w:hAnsi="Times New Roman" w:cs="Times New Roman"/>
                <w:sz w:val="20"/>
                <w:szCs w:val="20"/>
                <w:color w:val="000000"/>
              </w:rPr>
              <w:t>退正餐40*2</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总金额：捌仟肆佰叁拾元整</w:t>
            </w:r>
          </w:p>
        </w:tc>
        <w:tc>
          <w:tcPr>
            <w:tcW w:w="2310" w:type="dxa"/>
            <w:textDirection w:val="right"/>
            <w:gridSpan w:val="3"/>
          </w:tcPr>
          <w:p>
            <w:pPr/>
            <w:r>
              <w:rPr>
                <w:lang w:val="zh-CN"/>
                <w:rFonts w:ascii="Times New Roman" w:hAnsi="Times New Roman" w:cs="Times New Roman"/>
                <w:b/>
                <w:color w:val="FF0000"/>
              </w:rPr>
              <w:t>8430.00</w:t>
            </w:r>
          </w:p>
        </w:tc>
      </w:tr>
      <w:tr>
        <w:tc>
          <w:tcPr>
            <w:tcW w:w="2310" w:type="dxa"/>
            <w:gridSpan w:val="8"/>
          </w:tcPr>
          <w:p>
            <w:pPr/>
            <w:r>
              <w:rPr>
                <w:lang w:val="zh-CN"/>
                <w:rFonts w:ascii="Times New Roman" w:hAnsi="Times New Roman" w:cs="Times New Roman"/>
                <w:sz w:val="20"/>
                <w:szCs w:val="20"/>
                <w:color w:val="000000"/>
              </w:rPr>
              <w:t>含尚睿合同保险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交通银行股份有限公司云南省分行营业部</w:t>
            </w:r>
          </w:p>
        </w:tc>
        <w:tc>
          <w:tcPr>
            <w:tcW w:w="2310" w:type="dxa"/>
            <w:gridSpan w:val="2"/>
          </w:tcPr>
          <w:p>
            <w:pPr/>
            <w:r>
              <w:rPr>
                <w:lang w:val="zh-CN"/>
                <w:rFonts w:ascii="Times New Roman" w:hAnsi="Times New Roman" w:cs="Times New Roman"/>
                <w:sz w:val="20"/>
                <w:szCs w:val="20"/>
                <w:color w:val="000000"/>
              </w:rPr>
              <w:t>云南尚睿天城国际旅行社有限公司</w:t>
            </w:r>
          </w:p>
        </w:tc>
        <w:tc>
          <w:tcPr>
            <w:tcW w:w="2310" w:type="dxa"/>
            <w:gridSpan w:val="3"/>
          </w:tcPr>
          <w:p>
            <w:pPr/>
            <w:r>
              <w:rPr>
                <w:lang w:val="zh-CN"/>
                <w:rFonts w:ascii="Times New Roman" w:hAnsi="Times New Roman" w:cs="Times New Roman"/>
                <w:sz w:val="20"/>
                <w:szCs w:val="20"/>
                <w:color w:val="000000"/>
              </w:rPr>
              <w:t>531899991013001071107</w:t>
            </w:r>
          </w:p>
        </w:tc>
      </w:tr>
      <w:tr>
        <w:tc>
          <w:tcPr>
            <w:tcW w:w="2310" w:type="dxa"/>
            <w:gridSpan w:val="3"/>
          </w:tcPr>
          <w:p>
            <w:pPr/>
            <w:r>
              <w:rPr>
                <w:lang w:val="zh-CN"/>
                <w:rFonts w:ascii="Times New Roman" w:hAnsi="Times New Roman" w:cs="Times New Roman"/>
                <w:sz w:val="20"/>
                <w:szCs w:val="20"/>
                <w:color w:val="000000"/>
              </w:rPr>
              <w:t>中国银行东风支行行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建设银行-白龙路支行</w:t>
            </w:r>
          </w:p>
        </w:tc>
        <w:tc>
          <w:tcPr>
            <w:tcW w:w="2310" w:type="dxa"/>
            <w:gridSpan w:val="2"/>
          </w:tcPr>
          <w:p>
            <w:pPr/>
            <w:r>
              <w:rPr>
                <w:lang w:val="zh-CN"/>
                <w:rFonts w:ascii="Times New Roman" w:hAnsi="Times New Roman" w:cs="Times New Roman"/>
                <w:sz w:val="20"/>
                <w:szCs w:val="20"/>
                <w:color w:val="000000"/>
              </w:rPr>
              <w:t>杜培国</w:t>
            </w:r>
          </w:p>
        </w:tc>
        <w:tc>
          <w:tcPr>
            <w:tcW w:w="2310" w:type="dxa"/>
            <w:gridSpan w:val="3"/>
          </w:tcPr>
          <w:p>
            <w:pPr/>
            <w:r>
              <w:rPr>
                <w:lang w:val="zh-CN"/>
                <w:rFonts w:ascii="Times New Roman" w:hAnsi="Times New Roman" w:cs="Times New Roman"/>
                <w:sz w:val="20"/>
                <w:szCs w:val="20"/>
                <w:color w:val="000000"/>
              </w:rPr>
              <w:t>6217003860003124409</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杜培国</w:t>
            </w:r>
          </w:p>
        </w:tc>
        <w:tc>
          <w:tcPr>
            <w:tcW w:w="2310" w:type="dxa"/>
            <w:gridSpan w:val="3"/>
          </w:tcPr>
          <w:p>
            <w:pPr/>
            <w:r>
              <w:rPr>
                <w:lang w:val="zh-CN"/>
                <w:rFonts w:ascii="Times New Roman" w:hAnsi="Times New Roman" w:cs="Times New Roman"/>
                <w:sz w:val="20"/>
                <w:szCs w:val="20"/>
                <w:color w:val="000000"/>
              </w:rPr>
              <w:t>13099920115</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杜培国</w:t>
            </w:r>
          </w:p>
        </w:tc>
        <w:tc>
          <w:tcPr>
            <w:tcW w:w="2310" w:type="dxa"/>
            <w:gridSpan w:val="3"/>
          </w:tcPr>
          <w:p>
            <w:pPr/>
            <w:r>
              <w:rPr>
                <w:lang w:val="zh-CN"/>
                <w:rFonts w:ascii="Times New Roman" w:hAnsi="Times New Roman" w:cs="Times New Roman"/>
                <w:sz w:val="20"/>
                <w:szCs w:val="20"/>
                <w:color w:val="000000"/>
              </w:rPr>
              <w:t>6217562700029040440</w:t>
            </w:r>
          </w:p>
        </w:tc>
      </w:tr>
      <w:tr>
        <w:tc>
          <w:tcPr>
            <w:tcW w:w="2310" w:type="dxa"/>
            <w:gridSpan w:val="3"/>
          </w:tcPr>
          <w:p>
            <w:pPr/>
            <w:r>
              <w:rPr>
                <w:lang w:val="zh-CN"/>
                <w:rFonts w:ascii="Times New Roman" w:hAnsi="Times New Roman" w:cs="Times New Roman"/>
                <w:sz w:val="20"/>
                <w:szCs w:val="20"/>
                <w:color w:val="000000"/>
              </w:rPr>
              <w:t>微信收支</w:t>
            </w:r>
          </w:p>
        </w:tc>
        <w:tc>
          <w:tcPr>
            <w:tcW w:w="2310" w:type="dxa"/>
            <w:gridSpan w:val="2"/>
          </w:tcPr>
          <w:p>
            <w:pPr/>
            <w:r>
              <w:rPr>
                <w:lang w:val="zh-CN"/>
                <w:rFonts w:ascii="Times New Roman" w:hAnsi="Times New Roman" w:cs="Times New Roman"/>
                <w:sz w:val="20"/>
                <w:szCs w:val="20"/>
                <w:color w:val="000000"/>
              </w:rPr>
              <w:t>杜培国</w:t>
            </w:r>
          </w:p>
        </w:tc>
        <w:tc>
          <w:tcPr>
            <w:tcW w:w="2310" w:type="dxa"/>
            <w:gridSpan w:val="3"/>
          </w:tcPr>
          <w:p>
            <w:pPr/>
            <w:r>
              <w:rPr>
                <w:lang w:val="zh-CN"/>
                <w:rFonts w:ascii="Times New Roman" w:hAnsi="Times New Roman" w:cs="Times New Roman"/>
                <w:sz w:val="20"/>
                <w:szCs w:val="20"/>
                <w:color w:val="000000"/>
              </w:rPr>
              <w:t>13099920115</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杜建军</w:t>
            </w:r>
          </w:p>
        </w:tc>
        <w:tc>
          <w:tcPr>
            <w:tcW w:w="2310" w:type="dxa"/>
            <w:gridSpan w:val="3"/>
          </w:tcPr>
          <w:p>
            <w:pPr/>
            <w:r>
              <w:rPr>
                <w:lang w:val="zh-CN"/>
                <w:rFonts w:ascii="Times New Roman" w:hAnsi="Times New Roman" w:cs="Times New Roman"/>
                <w:sz w:val="20"/>
                <w:szCs w:val="20"/>
                <w:color w:val="000000"/>
              </w:rPr>
              <w:t>6212262502004080803</w:t>
            </w:r>
          </w:p>
        </w:tc>
      </w:tr>
      <w:tr>
        <w:tc>
          <w:tcPr>
            <w:tcW w:w="2310" w:type="dxa"/>
            <w:gridSpan w:val="3"/>
          </w:tcPr>
          <w:p>
            <w:pPr/>
            <w:r>
              <w:rPr>
                <w:lang w:val="zh-CN"/>
                <w:rFonts w:ascii="Times New Roman" w:hAnsi="Times New Roman" w:cs="Times New Roman"/>
                <w:sz w:val="20"/>
                <w:szCs w:val="20"/>
                <w:color w:val="000000"/>
              </w:rPr>
              <w:t>交通银行</w:t>
            </w:r>
          </w:p>
        </w:tc>
        <w:tc>
          <w:tcPr>
            <w:tcW w:w="2310" w:type="dxa"/>
            <w:gridSpan w:val="2"/>
          </w:tcPr>
          <w:p>
            <w:pPr/>
            <w:r>
              <w:rPr>
                <w:lang w:val="zh-CN"/>
                <w:rFonts w:ascii="Times New Roman" w:hAnsi="Times New Roman" w:cs="Times New Roman"/>
                <w:sz w:val="20"/>
                <w:szCs w:val="20"/>
                <w:color w:val="000000"/>
              </w:rPr>
              <w:t>杜培国</w:t>
            </w:r>
          </w:p>
        </w:tc>
        <w:tc>
          <w:tcPr>
            <w:tcW w:w="2310" w:type="dxa"/>
            <w:gridSpan w:val="3"/>
          </w:tcPr>
          <w:p>
            <w:pPr/>
            <w:r>
              <w:rPr>
                <w:lang w:val="zh-CN"/>
                <w:rFonts w:ascii="Times New Roman" w:hAnsi="Times New Roman" w:cs="Times New Roman"/>
                <w:sz w:val="20"/>
                <w:szCs w:val="20"/>
                <w:color w:val="000000"/>
              </w:rPr>
              <w:t>622262 0590000 402556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昆明-三亚</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◆乘机抵达“东方夏威夷”三亚，接机人员专车送您前往酒店休整，明日开启美好的旅程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早餐：不含；午餐：不含；晚餐：不含；住宿：三亚</w:t>
            </w:r>
          </w:p>
        </w:tc>
      </w:tr>
      <w:tr>
        <w:tc>
          <w:tcPr>
            <w:tcW w:w="2310" w:type="dxa"/>
            <w:vAlign w:val="center"/>
            <w:vMerge w:val="restart"/>
          </w:tcPr>
          <w:p>
            <w:pPr/>
            <w:r>
              <w:rPr>
                <w:lang w:val="zh-CN"/>
                <w:rFonts w:ascii="Times New Roman" w:hAnsi="Times New Roman" w:cs="Times New Roman"/>
                <w:sz w:val="20"/>
                <w:szCs w:val="20"/>
                <w:color w:val="000000"/>
              </w:rPr>
              <w:t>2026/07/14</w:t>
            </w:r>
          </w:p>
        </w:tc>
        <w:tc>
          <w:tcPr>
            <w:tcW w:w="2310" w:type="dxa"/>
            <w:gridSpan w:val="7"/>
          </w:tcPr>
          <w:p>
            <w:pPr/>
            <w:r>
              <w:rPr>
                <w:lang w:val="zh-CN"/>
                <w:rFonts w:ascii="Times New Roman" w:hAnsi="Times New Roman" w:cs="Times New Roman"/>
                <w:b/>
                <w:color w:val="000000"/>
              </w:rPr>
              <w:t>蜈支洲岛</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蜈支洲岛】：5A景区，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酒店早餐后，我们将一起乘船摆渡上岛，导游带领大家乘船，帮助大家浅浅了解下蜈支洲岛可以怎么玩。随后，大家根据自己喜好安排自由活动时间。（游览不少于3小时，含往返排队乘船时间，海上项目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早餐：含；午餐：不含；晚餐：不含；住宿：三亚</w:t>
            </w:r>
          </w:p>
        </w:tc>
      </w:tr>
      <w:tr>
        <w:tc>
          <w:tcPr>
            <w:tcW w:w="2310" w:type="dxa"/>
            <w:vAlign w:val="center"/>
            <w:vMerge w:val="restart"/>
          </w:tcPr>
          <w:p>
            <w:pPr/>
            <w:r>
              <w:rPr>
                <w:lang w:val="zh-CN"/>
                <w:rFonts w:ascii="Times New Roman" w:hAnsi="Times New Roman" w:cs="Times New Roman"/>
                <w:sz w:val="20"/>
                <w:szCs w:val="20"/>
                <w:color w:val="000000"/>
              </w:rPr>
              <w:t>2026/07/15</w:t>
            </w:r>
          </w:p>
        </w:tc>
        <w:tc>
          <w:tcPr>
            <w:tcW w:w="2310" w:type="dxa"/>
            <w:gridSpan w:val="7"/>
          </w:tcPr>
          <w:p>
            <w:pPr/>
            <w:r>
              <w:rPr>
                <w:lang w:val="zh-CN"/>
                <w:rFonts w:ascii="Times New Roman" w:hAnsi="Times New Roman" w:cs="Times New Roman"/>
                <w:b/>
                <w:color w:val="000000"/>
              </w:rPr>
              <w:t>呀诺达-亚特兰蒂斯水世界或水族馆2选1</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呀诺达雨林文化旅游区】：中国唯一地处北纬18度的热带雨林、融汇“热带雨林文化、黎峒文化、南药文化、生肖文化”等优秀文化理念于一体，构建一个以“原始绿色生态”为主格调的大型生态文化旅游主题旅游景区，堪称“中国钻石级雨林景区”。（游览不少于120分钟，行程含首道门票+观光车，其他费用自理）中餐：享用雨林特色自助餐。（不用不退）【亚特兰蒂斯水世界/水族馆二选一】：这里是全年龄段游客的乐园。亚特兰蒂斯文明是否真实存在尚不可知，三亚的亚特兰蒂斯水世界能满足你对夏日的美好想象。团队共赴一场夏日狂欢。大朋友在这里能回到童年，小朋友在这里能创造回忆。无论您是水上浮筏的拥趸，抑或是狂野速滑的追捧者，还是偏好徜徉池畔，时而悠闲自得时而惊起水花四溅，来到这里不虚此行。丰富的游玩项目亟待你来挑战！您可在这里体验各类反重力水滑道，感受令肾上腺素飙升的滑行，或挑战遍布园内的湍急水路，或探索沿河迁回的水底隧道，或与鲨鱼、鳐鱼亲密接触。海参之跃、10s放手一搏、鲨鱼穿越.....让你时刻挑战速度与激情！（游览不少于60分钟）行程结束后自由活动，您可自主安排，听三亚的海风、看夕阳、感受三亚的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早餐：含；午餐：含；晚餐：不含；住宿：三亚</w:t>
            </w:r>
          </w:p>
        </w:tc>
      </w:tr>
      <w:tr>
        <w:tc>
          <w:tcPr>
            <w:tcW w:w="2310" w:type="dxa"/>
            <w:vAlign w:val="center"/>
            <w:vMerge w:val="restart"/>
          </w:tcPr>
          <w:p>
            <w:pPr/>
            <w:r>
              <w:rPr>
                <w:lang w:val="zh-CN"/>
                <w:rFonts w:ascii="Times New Roman" w:hAnsi="Times New Roman" w:cs="Times New Roman"/>
                <w:sz w:val="20"/>
                <w:szCs w:val="20"/>
                <w:color w:val="000000"/>
              </w:rPr>
              <w:t>2026/07/16</w:t>
            </w:r>
          </w:p>
        </w:tc>
        <w:tc>
          <w:tcPr>
            <w:tcW w:w="2310" w:type="dxa"/>
            <w:gridSpan w:val="7"/>
          </w:tcPr>
          <w:p>
            <w:pPr/>
            <w:r>
              <w:rPr>
                <w:lang w:val="zh-CN"/>
                <w:rFonts w:ascii="Times New Roman" w:hAnsi="Times New Roman" w:cs="Times New Roman"/>
                <w:b/>
                <w:color w:val="000000"/>
              </w:rPr>
              <w:t>疍家港湾游+赶海-【万宁椰林桨板/日月湾无动力冲浪/加井岛浮潜 3选1】</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内享用自助早餐，开启活动新一天。【疍家港湾游】：（游览不少于40分钟）乘船游览疍家渔排，疍家渔排素有“海上街市”之称，是陵水“八景之一”。新村港已有500多年历史.疍家文化历史源远流长，陵水历史上一直是中国南海的重要渔港，海上顽强生息着的则是具有神秘色彩的疍家人,其无论在性格、语言、居住、婚配和宗教信仰等方面均独具特色，成为具有浓郁地域特色的民俗风情。【海边赶海】（游览不少于60分钟）在港湾的臂弯里，一场奇妙的赶海之旅悄然开启。当潮水退去，浅滩裸露出它藏满宝藏的胸怀。踏入松软的泥滩，小蟹匆忙逃窜，贝壳半掩于沙下，海螺静卧在水洼。俯身探寻，每一次的发现都是大海的馈赠，手中的竹篓渐渐装满了收获的喜悦。中餐：享用疍家渔排特色餐。（不用不退）【万宁椰林桨板/日月湾无动力冲浪/加井岛浮潜3选1】·【桨板雨林穿越】：（游览不少于120分钟）桨板穿越，立于板上，用桨划破平静水面，穿梭于江河湖海的绝美之境，看岸边景色如诗如画般后退，感受水的灵动与力量，在平衡与前行中领略自然的浩瀚包容。冲浪则是与汹涌海浪的激情共舞，乘浪尖之势，在澎湃波涛中跳跃、旋转，体验心跳与海浪的同频共振，释放无畏的勇气与蓬勃的活力，拥抱大海的狂野不羁。(由专业户外教练带领理论知识教学；下水教学；救生员陪同；免费拍摄照片）·【日月湾无动力冲浪1带3-5】（游览时间不少于2小时）包含内容如下：1.冲浪两小时+国职冲浪教练店内教学区教学、防晒泥(无刺激)、冲浪服、2.照片（8-10张）、视频（15-20秒）3.独立包装洗头膏、沐浴露、独立包装一次性浴巾4.卸妆水、卸妆棉、湿巾、独立淋浴间5.提供吹风机、化妆台、洗漱台、6.循环冲浪服装/3mm湿衣、7.门店独立教学区免费享用、8团单均免费提供冲浪板、9.免费乘热沙冲浪俱乐部观光车接送服务（冲浪具体内容以现场为准，不使用视为自动放弃无费用可退！）·【加井岛】：（游览时间不少于3小时）歌词里唱着“想带上你私奔，去做最幸福的人”，加井岛不就是一个远离人潮的好地方吗？品尝“中国吉普赛人”胥家渔民准备的特色美食后，游艇疾乘20分钟奔向无人岛，一片湛蓝的无人海域，浮潜的好去处。你见过海下的世界吗？透明的果冻海里热带鱼、脑珊瑚、海胆肆意生长，他们是陆地上从没见过的朋友。【加井岛浮潜】套餐内容包含：1摩托艇或者香蕉船往返加井岛（不指定）、2浮潜不限次数（3小时内）、3一次性咬嘴及救生衣、4提供浮潜，装备〈呼吸管＋半面镜〉、5提供海上浮毯（适合不会游泳或儿童）、6浮潜专业教练陪同跟拍（照片，视频）、7照片都是免费送（拍多少送多少请主动找教练拍摄）、8免费更衣室、9热水冲淡、10户外保险（费用包含加井岛浮潜3小时，浮潜具体内容以现场为准，不使用视为自动放弃无费用可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早餐：含；午餐：含；晚餐：不含；住宿：三亚</w:t>
            </w:r>
          </w:p>
        </w:tc>
      </w:tr>
      <w:tr>
        <w:tc>
          <w:tcPr>
            <w:tcW w:w="2310" w:type="dxa"/>
            <w:vAlign w:val="center"/>
            <w:vMerge w:val="restart"/>
          </w:tcPr>
          <w:p>
            <w:pPr/>
            <w:r>
              <w:rPr>
                <w:lang w:val="zh-CN"/>
                <w:rFonts w:ascii="Times New Roman" w:hAnsi="Times New Roman" w:cs="Times New Roman"/>
                <w:sz w:val="20"/>
                <w:szCs w:val="20"/>
                <w:color w:val="000000"/>
              </w:rPr>
              <w:t>2026/07/17</w:t>
            </w:r>
          </w:p>
        </w:tc>
        <w:tc>
          <w:tcPr>
            <w:tcW w:w="2310" w:type="dxa"/>
            <w:gridSpan w:val="7"/>
          </w:tcPr>
          <w:p>
            <w:pPr/>
            <w:r>
              <w:rPr>
                <w:lang w:val="zh-CN"/>
                <w:rFonts w:ascii="Times New Roman" w:hAnsi="Times New Roman" w:cs="Times New Roman"/>
                <w:b/>
                <w:color w:val="000000"/>
              </w:rPr>
              <w:t>送团-结束行程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7：00，酒店内享用丰盛的早餐，根据航班时间前往三亚凤凰机场，结束本次愉快的“国际旅游岛”之行。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早餐：含；午餐：不含；晚餐：不含；住宿：不含</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出发地至海南往返机票（经济舱），海南段空调旅游车，具体车型将根据最终成团人数合理调配，确保每人一正座（海南正规26座以下的车型均无行李箱）。2、酒店：三亚鹿岭海湾维景国际大酒店-山景房/备选为近海四钻君锦滨海主楼山景房或碧海金沙。（以上为参考酒店，不指定酒店)（注意：产品报价以2名成人共同入住1间标准客房为核算基准。若您的订单产生单人情况，旅游者须根据酒店实际收费标准补足单房差费用。）用餐：安排2正4早（早餐为酒店包含每间房含2份早餐），特色餐：1餐呀诺达自助餐、1餐疍家渔排特色餐；餐标50元/正景点：行程内景点包含首道大门票(不含景区内电瓶车及内设自费项目）；5、购物：无购物店（注意：行程中景区内及公路服务区内的自设商店不属于购物店）；6、导游：持证导游。散客产品不足8人，安排司机兼向导。7、儿童：未满12周岁儿童费用包含正餐、车位费；不含门票及早餐费用（超高儿童费用根据实际现付）。8、保险：含海南旅行社责任险；建议游客提前自行购买旅游人身意外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本产品会在当地由随团服务人员根据具体情况推荐自费项目，例如导游代为收取景区小交通、各类演出/体验门票等，您可根据自身需要选择是否参加并付款给导游用于预订该等自费项目，绝无强制消费景点海南旅游景区内设娱乐自费项目如下（以下为景区内设娱乐自费项目仅作参考，以景区公示价格为准！）价格参考蜈支洲陆地类项目：电瓶车60元/人起海上娱乐类项目：海棠游、摩托艇、彩拖伞等/潜水类项目：珊瑚礁潜水、潜水盲盒、快闪潜水等/套票类项目：海岛快闪套票、极限玩家、海上大玩家等200元/人起呀诺达缆车、高空滑索、踏步戏水等80元/人起</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入住时间为15：00点以后，退房时间为中午12:00点前，早班机到达和返程为晚班机的游客可把行李寄存在酒店前台后自由活动或自行开钟点房休息。2、由于海南海岛特点，为保障游客旅游体验，行程游览会视天气、车程、游客密集情况对景区游览顺序进行调整，但绝不压缩各景区游览时间。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4、①我社承诺我社承诺“绝不增加行程外购物店”；②在法律允许范围内，最终解释权归海南地接旅行社所有。5、景区内小交通、景区娱乐项目等属于景区自主经营项目，游客自愿参与、费用自理，我社承诺不强制消费。8、全程不指定购物和随意增加自费项目，如需购物或参加另行付费的旅游项目须双方协商一致，同时在当地补签自愿去购物店和参加另行付费旅游项目的相关合同，购物随客意，敬请理性消费，并索要小票。9、部份景区内设的购物商店，属于景区自行商业行为，不属于旅行社安排的购物商店，旅行社不承担相关责任，游客可自主选择。10、因报价已提供综合优惠，故持导游、军官、残疾、老人、教师、学生等优惠证件的客人均不再享受门票减免或其它优惠退费。6、折扣机票，不可退票、改签，请带好有效证件（16周岁以下需户口本或身份证原件）；7、海南用餐口味较清淡，且普通团队餐厅菜式比较雷同，建议旅游者可自带些咸菜或辣椒酱等佐餐。11、岛屿类景点因集中上岛游客较多，团队上岛可能会造成排队等候时间过长；12、蜈支洲岛景区规定60岁以上及行动不便游客（包括孕妇）需填写景区的免责声明方可登船上岛；70周岁以上老年人出于安全考虑，景区不予安排上岛参观（我社按团队采购成本价格予以退费）。13、请如实填写当地《游客意见书》，游客的投诉诉求以在海南当地，旅游者自行填写的意见单为主要依据。不填或虚填，归来后的投诉将无法受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2026/7/3 16:00:48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