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海之旅旅游团队/散客确认书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富源康辉旅行社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小游</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云南尚睿天城国际旅行社有限公司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杜坤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13658851602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HNC20260727-S11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逐浪三亚</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4(3大1小)</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1、赵贵莲</w:t>
            </w:r>
          </w:p>
        </w:tc>
        <w:tc>
          <w:tcPr>
            <w:tcW w:w="2310" w:type="dxa"/>
            <w:vAlign w:val="center"/>
            <w:gridSpan w:val="2"/>
          </w:tcPr>
          <w:p>
            <w:pPr/>
            <w:r>
              <w:rPr>
                <w:lang w:val="zh-CN"/>
                <w:rFonts w:ascii="Times New Roman" w:hAnsi="Times New Roman" w:cs="Times New Roman"/>
                <w:sz w:val="20"/>
                <w:szCs w:val="20"/>
                <w:color w:val="000000"/>
              </w:rPr>
              <w:t>532225198304220329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2、李光汝</w:t>
            </w:r>
          </w:p>
        </w:tc>
        <w:tc>
          <w:tcPr>
            <w:tcW w:w="2310" w:type="dxa"/>
            <w:vAlign w:val="center"/>
            <w:gridSpan w:val="2"/>
          </w:tcPr>
          <w:p>
            <w:pPr/>
            <w:r>
              <w:rPr>
                <w:lang w:val="zh-CN"/>
                <w:rFonts w:ascii="Times New Roman" w:hAnsi="Times New Roman" w:cs="Times New Roman"/>
                <w:sz w:val="20"/>
                <w:szCs w:val="20"/>
                <w:color w:val="000000"/>
              </w:rPr>
              <w:t>530325197502200379</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3、李锦</w:t>
            </w:r>
          </w:p>
        </w:tc>
        <w:tc>
          <w:tcPr>
            <w:tcW w:w="2310" w:type="dxa"/>
            <w:vAlign w:val="center"/>
            <w:gridSpan w:val="2"/>
          </w:tcPr>
          <w:p>
            <w:pPr/>
            <w:r>
              <w:rPr>
                <w:lang w:val="zh-CN"/>
                <w:rFonts w:ascii="Times New Roman" w:hAnsi="Times New Roman" w:cs="Times New Roman"/>
                <w:sz w:val="20"/>
                <w:szCs w:val="20"/>
                <w:color w:val="000000"/>
              </w:rPr>
              <w:t>530325200810060018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4、李政烜</w:t>
            </w:r>
          </w:p>
        </w:tc>
        <w:tc>
          <w:tcPr>
            <w:tcW w:w="2310" w:type="dxa"/>
            <w:vAlign w:val="center"/>
            <w:gridSpan w:val="2"/>
          </w:tcPr>
          <w:p>
            <w:pPr/>
            <w:r>
              <w:rPr>
                <w:lang w:val="zh-CN"/>
                <w:rFonts w:ascii="Times New Roman" w:hAnsi="Times New Roman" w:cs="Times New Roman"/>
                <w:sz w:val="20"/>
                <w:szCs w:val="20"/>
                <w:color w:val="000000"/>
              </w:rPr>
              <w:t>530325201611070058</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3930.00</w:t>
            </w:r>
          </w:p>
        </w:tc>
        <w:tc>
          <w:tcPr>
            <w:tcW w:w="2310" w:type="dxa"/>
          </w:tcPr>
          <w:p>
            <w:pPr/>
            <w:r>
              <w:rPr>
                <w:lang w:val="zh-CN"/>
                <w:rFonts w:ascii="Times New Roman" w:hAnsi="Times New Roman" w:cs="Times New Roman"/>
                <w:sz w:val="20"/>
                <w:szCs w:val="20"/>
                <w:color w:val="000000"/>
              </w:rPr>
              <w:t>11790.00</w:t>
            </w:r>
          </w:p>
        </w:tc>
        <w:tc>
          <w:tcPr>
            <w:tcW w:w="2310" w:type="dxa"/>
            <w:gridSpan w:val="2"/>
          </w:tcPr>
          <w:p>
            <w:pPr/>
            <w:r>
              <w:rPr>
                <w:lang w:val="zh-CN"/>
                <w:rFonts w:ascii="Times New Roman" w:hAnsi="Times New Roman" w:cs="Times New Roman"/>
                <w:sz w:val="20"/>
                <w:szCs w:val="20"/>
                <w:color w:val="000000"/>
              </w:rPr>
              <w:t>4530-600</w:t>
            </w: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3130.00</w:t>
            </w:r>
          </w:p>
        </w:tc>
        <w:tc>
          <w:tcPr>
            <w:tcW w:w="2310" w:type="dxa"/>
          </w:tcPr>
          <w:p>
            <w:pPr/>
            <w:r>
              <w:rPr>
                <w:lang w:val="zh-CN"/>
                <w:rFonts w:ascii="Times New Roman" w:hAnsi="Times New Roman" w:cs="Times New Roman"/>
                <w:sz w:val="20"/>
                <w:szCs w:val="20"/>
                <w:color w:val="000000"/>
              </w:rPr>
              <w:t>3130.00</w:t>
            </w:r>
          </w:p>
        </w:tc>
        <w:tc>
          <w:tcPr>
            <w:tcW w:w="2310" w:type="dxa"/>
            <w:gridSpan w:val="2"/>
          </w:tcPr>
          <w:p>
            <w:pPr/>
            <w:r>
              <w:rPr>
                <w:lang w:val="zh-CN"/>
                <w:rFonts w:ascii="Times New Roman" w:hAnsi="Times New Roman" w:cs="Times New Roman"/>
                <w:sz w:val="20"/>
                <w:szCs w:val="20"/>
                <w:color w:val="000000"/>
              </w:rPr>
              <w:t>3430-300</w:t>
            </w: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单房差</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450.00</w:t>
            </w:r>
          </w:p>
        </w:tc>
        <w:tc>
          <w:tcPr>
            <w:tcW w:w="2310" w:type="dxa"/>
          </w:tcPr>
          <w:p>
            <w:pPr/>
            <w:r>
              <w:rPr>
                <w:lang w:val="zh-CN"/>
                <w:rFonts w:ascii="Times New Roman" w:hAnsi="Times New Roman" w:cs="Times New Roman"/>
                <w:sz w:val="20"/>
                <w:szCs w:val="20"/>
                <w:color w:val="000000"/>
              </w:rPr>
              <w:t>450.00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总金额：壹万伍仟叁佰柒拾元整</w:t>
            </w:r>
          </w:p>
        </w:tc>
        <w:tc>
          <w:tcPr>
            <w:tcW w:w="2310" w:type="dxa"/>
            <w:textDirection w:val="right"/>
            <w:gridSpan w:val="3"/>
          </w:tcPr>
          <w:p>
            <w:pPr/>
            <w:r>
              <w:rPr>
                <w:lang w:val="zh-CN"/>
                <w:rFonts w:ascii="Times New Roman" w:hAnsi="Times New Roman" w:cs="Times New Roman"/>
                <w:b/>
                <w:color w:val="FF0000"/>
              </w:rPr>
              <w:t>15370.00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交通银行股份有限公司云南省分行营业部</w:t>
            </w:r>
          </w:p>
        </w:tc>
        <w:tc>
          <w:tcPr>
            <w:tcW w:w="2310" w:type="dxa"/>
            <w:gridSpan w:val="2"/>
          </w:tcPr>
          <w:p>
            <w:pPr/>
            <w:r>
              <w:rPr>
                <w:lang w:val="zh-CN"/>
                <w:rFonts w:ascii="Times New Roman" w:hAnsi="Times New Roman" w:cs="Times New Roman"/>
                <w:sz w:val="20"/>
                <w:szCs w:val="20"/>
                <w:color w:val="000000"/>
              </w:rPr>
              <w:t>云南尚睿天城国际旅行社有限公司</w:t>
            </w:r>
          </w:p>
        </w:tc>
        <w:tc>
          <w:tcPr>
            <w:tcW w:w="2310" w:type="dxa"/>
            <w:gridSpan w:val="3"/>
          </w:tcPr>
          <w:p>
            <w:pPr/>
            <w:r>
              <w:rPr>
                <w:lang w:val="zh-CN"/>
                <w:rFonts w:ascii="Times New Roman" w:hAnsi="Times New Roman" w:cs="Times New Roman"/>
                <w:sz w:val="20"/>
                <w:szCs w:val="20"/>
                <w:color w:val="000000"/>
              </w:rPr>
              <w:t>531899991013001071107</w:t>
            </w:r>
          </w:p>
        </w:tc>
      </w:tr>
      <w:tr>
        <w:tc>
          <w:tcPr>
            <w:tcW w:w="2310" w:type="dxa"/>
            <w:gridSpan w:val="3"/>
          </w:tcPr>
          <w:p>
            <w:pPr/>
            <w:r>
              <w:rPr>
                <w:lang w:val="zh-CN"/>
                <w:rFonts w:ascii="Times New Roman" w:hAnsi="Times New Roman" w:cs="Times New Roman"/>
                <w:sz w:val="20"/>
                <w:szCs w:val="20"/>
                <w:color w:val="000000"/>
              </w:rPr>
              <w:t>中国银行东风支行行</w:t>
            </w:r>
          </w:p>
        </w:tc>
        <w:tc>
          <w:tcPr>
            <w:tcW w:w="2310" w:type="dxa"/>
            <w:gridSpan w:val="2"/>
          </w:tcPr>
          <w:p>
            <w:pPr/>
            <w:r>
              <w:rPr>
                <w:lang w:val="zh-CN"/>
                <w:rFonts w:ascii="Times New Roman" w:hAnsi="Times New Roman" w:cs="Times New Roman"/>
                <w:sz w:val="20"/>
                <w:szCs w:val="20"/>
                <w:color w:val="000000"/>
              </w:rPr>
              <w:t>云南省省国际旅行社(集团)有限公司</w:t>
            </w:r>
          </w:p>
        </w:tc>
        <w:tc>
          <w:tcPr>
            <w:tcW w:w="2310" w:type="dxa"/>
            <w:gridSpan w:val="3"/>
          </w:tcPr>
          <w:p>
            <w:pPr/>
            <w:r>
              <w:rPr>
                <w:lang w:val="zh-CN"/>
                <w:rFonts w:ascii="Times New Roman" w:hAnsi="Times New Roman" w:cs="Times New Roman"/>
                <w:sz w:val="20"/>
                <w:szCs w:val="20"/>
                <w:color w:val="000000"/>
              </w:rPr>
              <w:t>137237571586</w:t>
            </w:r>
          </w:p>
        </w:tc>
      </w:tr>
      <w:tr>
        <w:tc>
          <w:tcPr>
            <w:tcW w:w="2310" w:type="dxa"/>
            <w:gridSpan w:val="3"/>
          </w:tcPr>
          <w:p>
            <w:pPr/>
            <w:r>
              <w:rPr>
                <w:lang w:val="zh-CN"/>
                <w:rFonts w:ascii="Times New Roman" w:hAnsi="Times New Roman" w:cs="Times New Roman"/>
                <w:sz w:val="20"/>
                <w:szCs w:val="20"/>
                <w:color w:val="000000"/>
              </w:rPr>
              <w:t>建设银行-白龙路支行</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6217003860003124409</w:t>
            </w:r>
          </w:p>
        </w:tc>
      </w:tr>
      <w:tr>
        <w:tc>
          <w:tcPr>
            <w:tcW w:w="2310" w:type="dxa"/>
            <w:gridSpan w:val="3"/>
          </w:tcPr>
          <w:p>
            <w:pPr/>
            <w:r>
              <w:rPr>
                <w:lang w:val="zh-CN"/>
                <w:rFonts w:ascii="Times New Roman" w:hAnsi="Times New Roman" w:cs="Times New Roman"/>
                <w:sz w:val="20"/>
                <w:szCs w:val="20"/>
                <w:color w:val="000000"/>
              </w:rPr>
              <w:t>支付宝</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13099920115</w:t>
            </w:r>
          </w:p>
        </w:tc>
      </w:tr>
      <w:tr>
        <w:tc>
          <w:tcPr>
            <w:tcW w:w="2310" w:type="dxa"/>
            <w:gridSpan w:val="3"/>
          </w:tcPr>
          <w:p>
            <w:pPr/>
            <w:r>
              <w:rPr>
                <w:lang w:val="zh-CN"/>
                <w:rFonts w:ascii="Times New Roman" w:hAnsi="Times New Roman" w:cs="Times New Roman"/>
                <w:sz w:val="20"/>
                <w:szCs w:val="20"/>
                <w:color w:val="000000"/>
              </w:rPr>
              <w:t>中国银行</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6217562700029040440</w:t>
            </w:r>
          </w:p>
        </w:tc>
      </w:tr>
      <w:tr>
        <w:tc>
          <w:tcPr>
            <w:tcW w:w="2310" w:type="dxa"/>
            <w:gridSpan w:val="3"/>
          </w:tcPr>
          <w:p>
            <w:pPr/>
            <w:r>
              <w:rPr>
                <w:lang w:val="zh-CN"/>
                <w:rFonts w:ascii="Times New Roman" w:hAnsi="Times New Roman" w:cs="Times New Roman"/>
                <w:sz w:val="20"/>
                <w:szCs w:val="20"/>
                <w:color w:val="000000"/>
              </w:rPr>
              <w:t>微信收支</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13099920115</w:t>
            </w:r>
          </w:p>
        </w:tc>
      </w:tr>
      <w:tr>
        <w:tc>
          <w:tcPr>
            <w:tcW w:w="2310" w:type="dxa"/>
            <w:gridSpan w:val="3"/>
          </w:tcPr>
          <w:p>
            <w:pPr/>
            <w:r>
              <w:rPr>
                <w:lang w:val="zh-CN"/>
                <w:rFonts w:ascii="Times New Roman" w:hAnsi="Times New Roman" w:cs="Times New Roman"/>
                <w:sz w:val="20"/>
                <w:szCs w:val="20"/>
                <w:color w:val="000000"/>
              </w:rPr>
              <w:t>工商银行</w:t>
            </w:r>
          </w:p>
        </w:tc>
        <w:tc>
          <w:tcPr>
            <w:tcW w:w="2310" w:type="dxa"/>
            <w:gridSpan w:val="2"/>
          </w:tcPr>
          <w:p>
            <w:pPr/>
            <w:r>
              <w:rPr>
                <w:lang w:val="zh-CN"/>
                <w:rFonts w:ascii="Times New Roman" w:hAnsi="Times New Roman" w:cs="Times New Roman"/>
                <w:sz w:val="20"/>
                <w:szCs w:val="20"/>
                <w:color w:val="000000"/>
              </w:rPr>
              <w:t>杜建军</w:t>
            </w:r>
          </w:p>
        </w:tc>
        <w:tc>
          <w:tcPr>
            <w:tcW w:w="2310" w:type="dxa"/>
            <w:gridSpan w:val="3"/>
          </w:tcPr>
          <w:p>
            <w:pPr/>
            <w:r>
              <w:rPr>
                <w:lang w:val="zh-CN"/>
                <w:rFonts w:ascii="Times New Roman" w:hAnsi="Times New Roman" w:cs="Times New Roman"/>
                <w:sz w:val="20"/>
                <w:szCs w:val="20"/>
                <w:color w:val="000000"/>
              </w:rPr>
              <w:t>6212262502004080803</w:t>
            </w:r>
          </w:p>
        </w:tc>
      </w:tr>
      <w:tr>
        <w:tc>
          <w:tcPr>
            <w:tcW w:w="2310" w:type="dxa"/>
            <w:gridSpan w:val="3"/>
          </w:tcPr>
          <w:p>
            <w:pPr/>
            <w:r>
              <w:rPr>
                <w:lang w:val="zh-CN"/>
                <w:rFonts w:ascii="Times New Roman" w:hAnsi="Times New Roman" w:cs="Times New Roman"/>
                <w:sz w:val="20"/>
                <w:szCs w:val="20"/>
                <w:color w:val="000000"/>
              </w:rPr>
              <w:t>交通银行</w:t>
            </w:r>
          </w:p>
        </w:tc>
        <w:tc>
          <w:tcPr>
            <w:tcW w:w="2310" w:type="dxa"/>
            <w:gridSpan w:val="2"/>
          </w:tcPr>
          <w:p>
            <w:pPr/>
            <w:r>
              <w:rPr>
                <w:lang w:val="zh-CN"/>
                <w:rFonts w:ascii="Times New Roman" w:hAnsi="Times New Roman" w:cs="Times New Roman"/>
                <w:sz w:val="20"/>
                <w:szCs w:val="20"/>
                <w:color w:val="000000"/>
              </w:rPr>
              <w:t>杜培国</w:t>
            </w:r>
          </w:p>
        </w:tc>
        <w:tc>
          <w:tcPr>
            <w:tcW w:w="2310" w:type="dxa"/>
            <w:gridSpan w:val="3"/>
          </w:tcPr>
          <w:p>
            <w:pPr/>
            <w:r>
              <w:rPr>
                <w:lang w:val="zh-CN"/>
                <w:rFonts w:ascii="Times New Roman" w:hAnsi="Times New Roman" w:cs="Times New Roman"/>
                <w:sz w:val="20"/>
                <w:szCs w:val="20"/>
                <w:color w:val="000000"/>
              </w:rPr>
              <w:t>622262 0590000 402556</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接机住酒店</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乘机抵达“国际旅游岛”，导游已提前在此恭候您到来，之后入住酒店休息，准备迎接第二天的愉快旅途！</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早餐：--；午餐：--；晚餐：--；住宿：三亚指定酒店</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游艇出海+水世界-星空篝火晚会</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首先前往游艇码头，【豪华游艇出海】（独立）：海中贵族，不凡享受；1、豪华私家飞桥游艇3小时激情出海；2、摩托艇体验（1-2圈）；3、海钓（含鱼竿、鱼饵）；4、免费提供矿泉水、饮料；5、免费提供当季时令水果果盘；6、游艇摆拍；【亚特兰蒂斯水世界】：游客可在这里体验各类反重力水滑道，感受令肾上腺素飙升的滑行。或挑战遍布园内的湍急水路;或探索沿河迁回的水底隧道;或与鲨鱼、鳐鱼亲密接触-这里是全年龄段游客的乐园，无论您是水上浮筏的拥趸，抑或是狂野速滑的追捧者，还是偏好徜徉池畔，时而悠闲自得时而惊起水花四溅，亚特兰蒂斯水世界均能令您享受到无穷妙趣；后海我们村星空篝火晚会：网红营地自助旅拍·篝火晚会+烟花派对海南特色烧烤（可换椰子鸡套餐，农家小炒，海鲜等定制）专业音响+演唱歌手全天候提供饮用水，冲淡，更衣室户外保险</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早餐：含；午餐：含；晚餐：含；住宿：三亚指定酒店</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浆板-摘椰子做椰子粿-专业赶海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酒店用过丰盛的早餐；【万宁热带雨林桨板穿越】（游览不少于120分钟）最原始的水系，生态独特的热带雨林秘境。这是一条海南本地人都很少知道的宝藏古河道，用最潮流的SUP桨板运动，徜徉在河道之中，宛如在画中游。划着桨板穿行在椰林之下，微风拂过树梢，在耳边沙沙作响，河道树影婆娑，相当惬意～更有专业教练带队，对新手友好，小朋友也可以轻松上手～这项运动可是会上瘾的！一半掌握平衡，一半使用核心力量人生不需要桨，全靠双手去浪，人板一体极速前进，感受速度与激情！【海南公道文化活动】：（游览不少于60分钟）挑战海南特色趣味项目摘椰子，体验椰子的采摘过程品尝自己亲手摘下的椰子，那种满足感和趣味性难以言喻。院区散养的喝着椰子水，吃着椰蓉长大的农家鸡，配上树上刚摘的椰子水煮出来的海南特色椰子鸡，鸡肉Q弹，搭配新鲜蔬菜，说天下第一美食也不为过！在等待美食的间歇还可以亲子动手试试看制作海南特色糕点“椰子粿”，作为饭后甜点也是很不错的选择，甜甜糯糯，甜蜜每一天！【码头乘船赶海+拉地笼】：赶海区域:神州半岛海域，赶海船型:当地渔民鱼船，带着我们超强的接待能力和服务团队以及有专业赶海实操技术经验的教练，乘船出发去内海赶海码头集合登船出发。提供以下设备:1、每人头灯一2、水桶一个手抄网一个4、救生衣一件，防水裤鞋一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早餐：含；午餐：含；晚餐：含；住宿：万宁指定酒店</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万宁山钦湾-直升机体验</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万宁山钦湾】：（游览不少于90分钟）山钦湾景色优美，怪石嶙峋，海风呼啸，海天一色。漫长的海滩一片银白，海水无人打扰地奔放着涌向沙滩。海中丛礁饮浪醉海，千姿百态。还有燕鸟洞，幽然神秘。最为壮观的是九鲸石，令众多游人叫绝。海滩的坡度很大，于是海水卷上来翻起如雪的浪花，白的有些眩目。海天一色的无际海面侵占了所有视线，远远的渔民在收网，阳光砸在海面上，感觉叮叮当当的，溅起一片灿烂。湛蓝的天，肆意流淌的云，让人忍不住想跳起来拥抱这自然。【直升机体验1公里】开启一段令人兴奋的空中旅程【直升机观光体验/小圈】，360°无死角的直升机低空观光体验，感受不一样的三亚视角，打破常规观光方式，换个视角体验高空美景，享受上帝视角的辽阔视野，俯瞰海岸美景，与直升机合影，拍炫爆朋友圈的高级美图大片。享用海鲜大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早餐：含；午餐：含；晚餐：含；住宿：三亚指定酒店</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西岛-天涯海角-送机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乘船上岛游览神奇浪漫的【西岛】（约150分钟，不含水上项目），此岛水质清澈，珊瑚环绕，白沙碧水，是一个玩水的好去处，有七色的海水，闪烁的银滩、斑斓的珊瑚，还有漫山遍野朝霞般灿烂的刺桐花，以及众多珍稀植物和动物。岛上有千奇百怪的贝壳，海面波平浪缓，沙滩松软洁白。游览4A级景区【天涯海角】漫步蜿蜒的海岸线如同进入一个天然的时空隧道，在“南天一柱”、“海判南天”、“天涯海角”等巨型摩崖石刻中徘徊，追寻古人足迹，体验浮世沧桑提前3小时前往三亚凤凰机场送机，结束本次愉快的“国际旅游岛”之行</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早餐：含；午餐：含；晚餐：--；住宿：--</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出发地至海南往返机票（经济舱），海南段空调旅游车，具体车型将根据最终成团人数合理调配，确保每人一正座（海南正规26座以下的车型均无行李箱）。2、酒店：碧海金沙或同级网评四钻酒店升级一晚万宁酒店。（以上为参考酒店，不指定酒店)（注意：产品报价以2名成人共同入住1间标准客房为核算基准。若您的订单产生单人情况，旅游者须根据酒店实际收费标准补足单房差费用。）3、用餐：安排7正5早（早餐为酒店包含每间房含2份早餐），其中特色餐：1椰子鸡宴餐标60；1海鲜大餐餐标80；1篝火烧烤（篝火费用已含），其他正餐餐标：40元/正4、景点：行程内景点包含首道大门票(不含景区内电瓶车及内设自费项目）；5、购物：无购物店（注意：行程中景区内及公路服务区内的自设商店不属于购物店）；6、导游：持证导游。散客产品不足8人，安排司机兼向导。7、儿童：未满12周岁儿童费用包含正餐、车位费；不含门票及早餐费用（超高儿童费用根据实际现付）。8、保险：含海南旅行社责任险；建议游客提前自行购买旅游人身意外险。</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小游</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杜坤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2026/7/22 17:07:30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