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海之旅旅游团队/散客确认书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临沧众信</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熊小路</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15911659074</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云南尚睿天城国际旅行社有限公司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杜坤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13658851602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HNC20260726-S04</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三亚海陆空真纯玩5日游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2026-07-26 MU5771 昆明→三亚 19:00-20:15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2026-07-30 MU5772 三亚→昆明 22:15-00:25+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1、吴新凌</w:t>
            </w:r>
          </w:p>
        </w:tc>
        <w:tc>
          <w:tcPr>
            <w:tcW w:w="2310" w:type="dxa"/>
            <w:vAlign w:val="center"/>
            <w:gridSpan w:val="2"/>
          </w:tcPr>
          <w:p>
            <w:pPr/>
            <w:r>
              <w:rPr>
                <w:lang w:val="zh-CN"/>
                <w:rFonts w:ascii="Times New Roman" w:hAnsi="Times New Roman" w:cs="Times New Roman"/>
                <w:sz w:val="20"/>
                <w:szCs w:val="20"/>
                <w:color w:val="000000"/>
              </w:rPr>
              <w:t>530925201009280020</w:t>
            </w:r>
          </w:p>
        </w:tc>
        <w:tc>
          <w:tcPr>
            <w:tcW w:w="2310" w:type="dxa"/>
            <w:vAlign w:val="center"/>
          </w:tcPr>
          <w:p>
            <w:pPr/>
            <w:r>
              <w:rPr>
                <w:lang w:val="zh-CN"/>
                <w:rFonts w:ascii="Times New Roman" w:hAnsi="Times New Roman" w:cs="Times New Roman"/>
                <w:sz w:val="20"/>
                <w:szCs w:val="20"/>
                <w:color w:val="000000"/>
              </w:rPr>
              <w:t>19869510225</w:t>
            </w:r>
          </w:p>
        </w:tc>
        <w:tc>
          <w:tcPr>
            <w:tcW w:w="2310" w:type="dxa"/>
            <w:vAlign w:val="center"/>
          </w:tcPr>
          <w:p>
            <w:pPr/>
            <w:r>
              <w:rPr>
                <w:lang w:val="zh-CN"/>
                <w:rFonts w:ascii="Times New Roman" w:hAnsi="Times New Roman" w:cs="Times New Roman"/>
                <w:sz w:val="20"/>
                <w:szCs w:val="20"/>
                <w:color w:val="000000"/>
              </w:rPr>
              <w:t>2、何晓怡</w:t>
            </w:r>
          </w:p>
        </w:tc>
        <w:tc>
          <w:tcPr>
            <w:tcW w:w="2310" w:type="dxa"/>
            <w:vAlign w:val="center"/>
            <w:gridSpan w:val="2"/>
          </w:tcPr>
          <w:p>
            <w:pPr/>
            <w:r>
              <w:rPr>
                <w:lang w:val="zh-CN"/>
                <w:rFonts w:ascii="Times New Roman" w:hAnsi="Times New Roman" w:cs="Times New Roman"/>
                <w:sz w:val="20"/>
                <w:szCs w:val="20"/>
                <w:color w:val="000000"/>
              </w:rPr>
              <w:t>530925201104040420</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3100.00</w:t>
            </w:r>
          </w:p>
        </w:tc>
        <w:tc>
          <w:tcPr>
            <w:tcW w:w="2310" w:type="dxa"/>
          </w:tcPr>
          <w:p>
            <w:pPr/>
            <w:r>
              <w:rPr>
                <w:lang w:val="zh-CN"/>
                <w:rFonts w:ascii="Times New Roman" w:hAnsi="Times New Roman" w:cs="Times New Roman"/>
                <w:sz w:val="20"/>
                <w:szCs w:val="20"/>
                <w:color w:val="000000"/>
              </w:rPr>
              <w:t>6200.00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总金额：陆仟贰佰元整</w:t>
            </w:r>
          </w:p>
        </w:tc>
        <w:tc>
          <w:tcPr>
            <w:tcW w:w="2310" w:type="dxa"/>
            <w:textDirection w:val="right"/>
            <w:gridSpan w:val="3"/>
          </w:tcPr>
          <w:p>
            <w:pPr/>
            <w:r>
              <w:rPr>
                <w:lang w:val="zh-CN"/>
                <w:rFonts w:ascii="Times New Roman" w:hAnsi="Times New Roman" w:cs="Times New Roman"/>
                <w:b/>
                <w:color w:val="FF0000"/>
              </w:rPr>
              <w:t>6200.00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交通银行股份有限公司云南省分行营业部</w:t>
            </w:r>
          </w:p>
        </w:tc>
        <w:tc>
          <w:tcPr>
            <w:tcW w:w="2310" w:type="dxa"/>
            <w:gridSpan w:val="2"/>
          </w:tcPr>
          <w:p>
            <w:pPr/>
            <w:r>
              <w:rPr>
                <w:lang w:val="zh-CN"/>
                <w:rFonts w:ascii="Times New Roman" w:hAnsi="Times New Roman" w:cs="Times New Roman"/>
                <w:sz w:val="20"/>
                <w:szCs w:val="20"/>
                <w:color w:val="000000"/>
              </w:rPr>
              <w:t>云南尚睿天城国际旅行社有限公司</w:t>
            </w:r>
          </w:p>
        </w:tc>
        <w:tc>
          <w:tcPr>
            <w:tcW w:w="2310" w:type="dxa"/>
            <w:gridSpan w:val="3"/>
          </w:tcPr>
          <w:p>
            <w:pPr/>
            <w:r>
              <w:rPr>
                <w:lang w:val="zh-CN"/>
                <w:rFonts w:ascii="Times New Roman" w:hAnsi="Times New Roman" w:cs="Times New Roman"/>
                <w:sz w:val="20"/>
                <w:szCs w:val="20"/>
                <w:color w:val="000000"/>
              </w:rPr>
              <w:t>531899991013001071107</w:t>
            </w:r>
          </w:p>
        </w:tc>
      </w:tr>
      <w:tr>
        <w:tc>
          <w:tcPr>
            <w:tcW w:w="2310" w:type="dxa"/>
            <w:gridSpan w:val="3"/>
          </w:tcPr>
          <w:p>
            <w:pPr/>
            <w:r>
              <w:rPr>
                <w:lang w:val="zh-CN"/>
                <w:rFonts w:ascii="Times New Roman" w:hAnsi="Times New Roman" w:cs="Times New Roman"/>
                <w:sz w:val="20"/>
                <w:szCs w:val="20"/>
                <w:color w:val="000000"/>
              </w:rPr>
              <w:t>中国银行东风支行行</w:t>
            </w:r>
          </w:p>
        </w:tc>
        <w:tc>
          <w:tcPr>
            <w:tcW w:w="2310" w:type="dxa"/>
            <w:gridSpan w:val="2"/>
          </w:tcPr>
          <w:p>
            <w:pPr/>
            <w:r>
              <w:rPr>
                <w:lang w:val="zh-CN"/>
                <w:rFonts w:ascii="Times New Roman" w:hAnsi="Times New Roman" w:cs="Times New Roman"/>
                <w:sz w:val="20"/>
                <w:szCs w:val="20"/>
                <w:color w:val="000000"/>
              </w:rPr>
              <w:t>云南省省国际旅行社(集团)有限公司</w:t>
            </w:r>
          </w:p>
        </w:tc>
        <w:tc>
          <w:tcPr>
            <w:tcW w:w="2310" w:type="dxa"/>
            <w:gridSpan w:val="3"/>
          </w:tcPr>
          <w:p>
            <w:pPr/>
            <w:r>
              <w:rPr>
                <w:lang w:val="zh-CN"/>
                <w:rFonts w:ascii="Times New Roman" w:hAnsi="Times New Roman" w:cs="Times New Roman"/>
                <w:sz w:val="20"/>
                <w:szCs w:val="20"/>
                <w:color w:val="000000"/>
              </w:rPr>
              <w:t>137237571586</w:t>
            </w:r>
          </w:p>
        </w:tc>
      </w:tr>
      <w:tr>
        <w:tc>
          <w:tcPr>
            <w:tcW w:w="2310" w:type="dxa"/>
            <w:gridSpan w:val="3"/>
          </w:tcPr>
          <w:p>
            <w:pPr/>
            <w:r>
              <w:rPr>
                <w:lang w:val="zh-CN"/>
                <w:rFonts w:ascii="Times New Roman" w:hAnsi="Times New Roman" w:cs="Times New Roman"/>
                <w:sz w:val="20"/>
                <w:szCs w:val="20"/>
                <w:color w:val="000000"/>
              </w:rPr>
              <w:t>建设银行-白龙路支行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6217003860003124409</w:t>
            </w:r>
          </w:p>
        </w:tc>
      </w:tr>
      <w:tr>
        <w:tc>
          <w:tcPr>
            <w:tcW w:w="2310" w:type="dxa"/>
            <w:gridSpan w:val="3"/>
          </w:tcPr>
          <w:p>
            <w:pPr/>
            <w:r>
              <w:rPr>
                <w:lang w:val="zh-CN"/>
                <w:rFonts w:ascii="Times New Roman" w:hAnsi="Times New Roman" w:cs="Times New Roman"/>
                <w:sz w:val="20"/>
                <w:szCs w:val="20"/>
                <w:color w:val="000000"/>
              </w:rPr>
              <w:t>支付宝</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13099920115</w:t>
            </w:r>
          </w:p>
        </w:tc>
      </w:tr>
      <w:tr>
        <w:tc>
          <w:tcPr>
            <w:tcW w:w="2310" w:type="dxa"/>
            <w:gridSpan w:val="3"/>
          </w:tcPr>
          <w:p>
            <w:pPr/>
            <w:r>
              <w:rPr>
                <w:lang w:val="zh-CN"/>
                <w:rFonts w:ascii="Times New Roman" w:hAnsi="Times New Roman" w:cs="Times New Roman"/>
                <w:sz w:val="20"/>
                <w:szCs w:val="20"/>
                <w:color w:val="000000"/>
              </w:rPr>
              <w:t>中国银行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6217562700029040440</w:t>
            </w:r>
          </w:p>
        </w:tc>
      </w:tr>
      <w:tr>
        <w:tc>
          <w:tcPr>
            <w:tcW w:w="2310" w:type="dxa"/>
            <w:gridSpan w:val="3"/>
          </w:tcPr>
          <w:p>
            <w:pPr/>
            <w:r>
              <w:rPr>
                <w:lang w:val="zh-CN"/>
                <w:rFonts w:ascii="Times New Roman" w:hAnsi="Times New Roman" w:cs="Times New Roman"/>
                <w:sz w:val="20"/>
                <w:szCs w:val="20"/>
                <w:color w:val="000000"/>
              </w:rPr>
              <w:t>微信收支</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13099920115</w:t>
            </w:r>
          </w:p>
        </w:tc>
      </w:tr>
      <w:tr>
        <w:tc>
          <w:tcPr>
            <w:tcW w:w="2310" w:type="dxa"/>
            <w:gridSpan w:val="3"/>
          </w:tcPr>
          <w:p>
            <w:pPr/>
            <w:r>
              <w:rPr>
                <w:lang w:val="zh-CN"/>
                <w:rFonts w:ascii="Times New Roman" w:hAnsi="Times New Roman" w:cs="Times New Roman"/>
                <w:sz w:val="20"/>
                <w:szCs w:val="20"/>
                <w:color w:val="000000"/>
              </w:rPr>
              <w:t>工商银行</w:t>
            </w:r>
          </w:p>
        </w:tc>
        <w:tc>
          <w:tcPr>
            <w:tcW w:w="2310" w:type="dxa"/>
            <w:gridSpan w:val="2"/>
          </w:tcPr>
          <w:p>
            <w:pPr/>
            <w:r>
              <w:rPr>
                <w:lang w:val="zh-CN"/>
                <w:rFonts w:ascii="Times New Roman" w:hAnsi="Times New Roman" w:cs="Times New Roman"/>
                <w:sz w:val="20"/>
                <w:szCs w:val="20"/>
                <w:color w:val="000000"/>
              </w:rPr>
              <w:t>杜建军</w:t>
            </w:r>
          </w:p>
        </w:tc>
        <w:tc>
          <w:tcPr>
            <w:tcW w:w="2310" w:type="dxa"/>
            <w:gridSpan w:val="3"/>
          </w:tcPr>
          <w:p>
            <w:pPr/>
            <w:r>
              <w:rPr>
                <w:lang w:val="zh-CN"/>
                <w:rFonts w:ascii="Times New Roman" w:hAnsi="Times New Roman" w:cs="Times New Roman"/>
                <w:sz w:val="20"/>
                <w:szCs w:val="20"/>
                <w:color w:val="000000"/>
              </w:rPr>
              <w:t>6212262502004080803</w:t>
            </w:r>
          </w:p>
        </w:tc>
      </w:tr>
      <w:tr>
        <w:tc>
          <w:tcPr>
            <w:tcW w:w="2310" w:type="dxa"/>
            <w:gridSpan w:val="3"/>
          </w:tcPr>
          <w:p>
            <w:pPr/>
            <w:r>
              <w:rPr>
                <w:lang w:val="zh-CN"/>
                <w:rFonts w:ascii="Times New Roman" w:hAnsi="Times New Roman" w:cs="Times New Roman"/>
                <w:sz w:val="20"/>
                <w:szCs w:val="20"/>
                <w:color w:val="000000"/>
              </w:rPr>
              <w:t>交通银行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622262 0590000 402556</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昆明-三亚</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◆乘机抵达“国际旅游岛”三亚市，工作人员将在机场接待出口接您，回酒店休息，准备明天丰富的旅程。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早餐：不含；午餐：不含；晚餐：不含；住宿：三亚酒店</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蜈支洲岛</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蜈支洲岛】：5A景区，被称为“中国的马尔代夫”！座落于三亚市北部的海棠湾内，这里沙滩、阳光、碧水、绿树构成一幅美丽的滨海风光，其海岸线蜿蜒绵长，零污染的海水清澈见底，能见度达27米！在这里您可以体验与大海同步呼吸，感受私人定制的看海时间。这里也是海上娱乐的天堂，您可以潜入海底感受色彩缤纷的海底世界，观赏形态各异的珊瑚，马鲛鱼，石斑鱼，海胆，海参，对虾，夜光螺及五颜六色的热带鱼，此地堪称中国潜水胜地（游览不少于3小时，含往返排队乘船时间，海上项目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早餐：含；午餐：不含；晚餐：不含；住宿：三亚酒店</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呀诺达&gt;大东海沙滩&gt;游艇出海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呀诺达雨林】：以天然自然景观为基础，融会“雨林文化、黎峒文化、南药文化、生肖文化”等文化的一个“雨林观光、文化风情、休闲体验、健康养生”为一体的大型观光休闲度假旅游区（不小于120分钟）。【大东海沙滩】：大东海沙滩坐落于三亚市区东南部，三面环山，一面向海，呈优美的月牙形蜿蜒延伸。这里的沙滩绵延约2.5公里，沙质细腻柔软，颜色如银，在阳光下闪烁着温和的光泽。海水清澈湛蓝，能见度极高，近岸处可见小鱼游弋，远处海面由浅蓝渐变为深邃的蔚蓝，与蓝天白云相映成趣。（游览时间不小于60分钟）【豪华游艇出海】：海中贵族，不凡享受；1、豪华私家飞桥游艇3小时激情出海；2、潜水包含（氧气瓶、救生衣、潜水服、教练一对一）窥视海底秘密（约5-20分钟）需自行购买一次性咬嘴（50元）或全面镜（150元），视游客个人情况二选一；3、摩托艇体验（1-2圈）；4、海钓（含鱼竿、鱼饵）；5、免费提供矿泉水、饮料；6、免费提供当季时令水果果盘；7、游艇摆拍；</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早餐：含；午餐：含；晚餐：不含；住宿：三亚酒店</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直升机体验-南山文化苑</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直升机体验】：搭乘直升飞机，翱翔海上俯瞰三亚美景，三亚湾，凤凰岛美景尽收眼底，准备好视频录制，你将是朋友圈里最靓的仔。中餐：特色餐椰子鸡，采用海南正宗文昌鸡以及天然椰子汁烹制，香润甜滑、芳香四溢，健康、清润、营养养颜，满足您高雅的味蕾。（不用不退）【南山文化苑】：参观“世界第一”的南海观音圣像，在这片佛教圣地、梵天净土中找回返璞归真、回归自然的亲身感觉；【海南热带水果采摘】赠送项目-前往果园，观赏了解果园亲自上手，体验采摘的乐趣。（赠送项目自愿放弃不退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早餐：含；午餐：含；晚餐：不含；住宿：三亚酒店</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三亚-昆明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自由活动，根据航班时间送机。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酒店标准基础版：4晚连住三亚夏威夷酒店-市景房备注：海南酒店多为旅游度假酒店，标准较内地偏低?如因酒店满房、被征用、区域停水停电等原因不能正常接待，将安排不低于以上酒店档次的酒店?全程不提供自然单间，如出现单男单女或单人，请补齐单房差或加床（注：加床原则为钢丝床）；?酒店退房时间为中午12:00时，返程为晚班机的游客可把行李寄存在酒店前台后自由活动或自行开钟点房休息。旅游交通海南当地空调VIP旅游车，保证每人一正座（海南正规26座以下的车型均无行李箱）景点门票行程中注明含的景点第一道门票（不含景区内二、三道门票或设自费项目等，另有约定除外）赠送景点或项目因时间或天气原因不能前往或自动放弃，按“不退费用”和“不更换景点”处理！用餐标准含2正4早（不用不退费）早餐：酒店内正餐：森林公园自助餐、特色餐椰子鸡导游服务持证专业优秀导游讲解服务，8人以下司机兼导游服务旅游购物全程不增加任何购物店（部分景区、酒店内设有购物场所，属于自行商业行为）保险服务旅行社责任险（保额10万元/人），强烈建议游客自行购买旅游意外险儿童标准2岁以上1.2米以下儿童只含半价餐+车位，不含早餐（酒店儿童超高早餐需另行付费）</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熊小路</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杜坤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2026/7/26 22:51:16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