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海之旅旅游团队/散客确认书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东风巷门市</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云南尚睿天城国际旅行社有限公司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18787112880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GLY20250811-S02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纯净漓江（准五）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2025-08-11 G4724 曲靖北→桂林北 18:24-22:29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2025-08-15 G408 桂林西→桂林北 15:10-17:02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2025-08-15 G1537 贵阳北→曲靖北 17:42-19:4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1、陈丽慧</w:t>
            </w:r>
          </w:p>
        </w:tc>
        <w:tc>
          <w:tcPr>
            <w:tcW w:w="2310" w:type="dxa"/>
            <w:vAlign w:val="center"/>
            <w:gridSpan w:val="2"/>
          </w:tcPr>
          <w:p>
            <w:pPr/>
            <w:r>
              <w:rPr>
                <w:lang w:val="zh-CN"/>
                <w:rFonts w:ascii="Times New Roman" w:hAnsi="Times New Roman" w:cs="Times New Roman"/>
                <w:sz w:val="20"/>
                <w:szCs w:val="20"/>
                <w:color w:val="000000"/>
              </w:rPr>
              <w:t>53030219850108242X</w:t>
            </w:r>
          </w:p>
        </w:tc>
        <w:tc>
          <w:tcPr>
            <w:tcW w:w="2310" w:type="dxa"/>
            <w:vAlign w:val="center"/>
          </w:tcPr>
          <w:p>
            <w:pPr/>
            <w:r>
              <w:rPr>
                <w:lang w:val="zh-CN"/>
                <w:rFonts w:ascii="Times New Roman" w:hAnsi="Times New Roman" w:cs="Times New Roman"/>
                <w:sz w:val="20"/>
                <w:szCs w:val="20"/>
                <w:color w:val="000000"/>
              </w:rPr>
              <w:t>13988912806</w:t>
            </w:r>
          </w:p>
        </w:tc>
        <w:tc>
          <w:tcPr>
            <w:tcW w:w="2310" w:type="dxa"/>
            <w:vAlign w:val="center"/>
          </w:tcPr>
          <w:p>
            <w:pPr/>
            <w:r>
              <w:rPr>
                <w:lang w:val="zh-CN"/>
                <w:rFonts w:ascii="Times New Roman" w:hAnsi="Times New Roman" w:cs="Times New Roman"/>
                <w:sz w:val="20"/>
                <w:szCs w:val="20"/>
                <w:color w:val="000000"/>
              </w:rPr>
              <w:t>2、陈德宗</w:t>
            </w:r>
          </w:p>
        </w:tc>
        <w:tc>
          <w:tcPr>
            <w:tcW w:w="2310" w:type="dxa"/>
            <w:vAlign w:val="center"/>
            <w:gridSpan w:val="2"/>
          </w:tcPr>
          <w:p>
            <w:pPr/>
            <w:r>
              <w:rPr>
                <w:lang w:val="zh-CN"/>
                <w:rFonts w:ascii="Times New Roman" w:hAnsi="Times New Roman" w:cs="Times New Roman"/>
                <w:sz w:val="20"/>
                <w:szCs w:val="20"/>
                <w:color w:val="000000"/>
              </w:rPr>
              <w:t>532201196105092416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3、刘关菊</w:t>
            </w:r>
          </w:p>
        </w:tc>
        <w:tc>
          <w:tcPr>
            <w:tcW w:w="2310" w:type="dxa"/>
            <w:vAlign w:val="center"/>
            <w:gridSpan w:val="2"/>
          </w:tcPr>
          <w:p>
            <w:pPr/>
            <w:r>
              <w:rPr>
                <w:lang w:val="zh-CN"/>
                <w:rFonts w:ascii="Times New Roman" w:hAnsi="Times New Roman" w:cs="Times New Roman"/>
                <w:sz w:val="20"/>
                <w:szCs w:val="20"/>
                <w:color w:val="000000"/>
              </w:rPr>
              <w:t>532201196201252440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4、戴锦麟</w:t>
            </w:r>
          </w:p>
        </w:tc>
        <w:tc>
          <w:tcPr>
            <w:tcW w:w="2310" w:type="dxa"/>
            <w:vAlign w:val="center"/>
            <w:gridSpan w:val="2"/>
          </w:tcPr>
          <w:p>
            <w:pPr/>
            <w:r>
              <w:rPr>
                <w:lang w:val="zh-CN"/>
                <w:rFonts w:ascii="Times New Roman" w:hAnsi="Times New Roman" w:cs="Times New Roman"/>
                <w:sz w:val="20"/>
                <w:szCs w:val="20"/>
                <w:color w:val="000000"/>
              </w:rPr>
              <w:t>530302201310196322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5、戴锦睿</w:t>
            </w:r>
          </w:p>
        </w:tc>
        <w:tc>
          <w:tcPr>
            <w:tcW w:w="2310" w:type="dxa"/>
            <w:vAlign w:val="center"/>
            <w:gridSpan w:val="2"/>
          </w:tcPr>
          <w:p>
            <w:pPr/>
            <w:r>
              <w:rPr>
                <w:lang w:val="zh-CN"/>
                <w:rFonts w:ascii="Times New Roman" w:hAnsi="Times New Roman" w:cs="Times New Roman"/>
                <w:sz w:val="20"/>
                <w:szCs w:val="20"/>
                <w:color w:val="000000"/>
              </w:rPr>
              <w:t>530302202001277414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2490.00</w:t>
            </w:r>
          </w:p>
        </w:tc>
        <w:tc>
          <w:tcPr>
            <w:tcW w:w="2310" w:type="dxa"/>
          </w:tcPr>
          <w:p>
            <w:pPr/>
            <w:r>
              <w:rPr>
                <w:lang w:val="zh-CN"/>
                <w:rFonts w:ascii="Times New Roman" w:hAnsi="Times New Roman" w:cs="Times New Roman"/>
                <w:sz w:val="20"/>
                <w:szCs w:val="20"/>
                <w:color w:val="000000"/>
              </w:rPr>
              <w:t>7470.00</w:t>
            </w:r>
          </w:p>
        </w:tc>
        <w:tc>
          <w:tcPr>
            <w:tcW w:w="2310" w:type="dxa"/>
            <w:gridSpan w:val="2"/>
          </w:tcPr>
          <w:p>
            <w:pPr/>
            <w:r>
              <w:rPr>
                <w:lang w:val="zh-CN"/>
                <w:rFonts w:ascii="Times New Roman" w:hAnsi="Times New Roman" w:cs="Times New Roman"/>
                <w:sz w:val="20"/>
                <w:szCs w:val="20"/>
                <w:color w:val="000000"/>
              </w:rPr>
              <w:t>2990-500</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2070.00</w:t>
            </w:r>
          </w:p>
        </w:tc>
        <w:tc>
          <w:tcPr>
            <w:tcW w:w="2310" w:type="dxa"/>
          </w:tcPr>
          <w:p>
            <w:pPr/>
            <w:r>
              <w:rPr>
                <w:lang w:val="zh-CN"/>
                <w:rFonts w:ascii="Times New Roman" w:hAnsi="Times New Roman" w:cs="Times New Roman"/>
                <w:sz w:val="20"/>
                <w:szCs w:val="20"/>
                <w:color w:val="000000"/>
              </w:rPr>
              <w:t>2070.00</w:t>
            </w:r>
          </w:p>
        </w:tc>
        <w:tc>
          <w:tcPr>
            <w:tcW w:w="2310" w:type="dxa"/>
            <w:gridSpan w:val="2"/>
          </w:tcPr>
          <w:p>
            <w:pPr/>
            <w:r>
              <w:rPr>
                <w:lang w:val="zh-CN"/>
                <w:rFonts w:ascii="Times New Roman" w:hAnsi="Times New Roman" w:cs="Times New Roman"/>
                <w:sz w:val="20"/>
                <w:szCs w:val="20"/>
                <w:color w:val="000000"/>
              </w:rPr>
              <w:t>2990-420-500</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550.00</w:t>
            </w:r>
          </w:p>
        </w:tc>
        <w:tc>
          <w:tcPr>
            <w:tcW w:w="2310" w:type="dxa"/>
          </w:tcPr>
          <w:p>
            <w:pPr/>
            <w:r>
              <w:rPr>
                <w:lang w:val="zh-CN"/>
                <w:rFonts w:ascii="Times New Roman" w:hAnsi="Times New Roman" w:cs="Times New Roman"/>
                <w:sz w:val="20"/>
                <w:szCs w:val="20"/>
                <w:color w:val="000000"/>
              </w:rPr>
              <w:t>550.00</w:t>
            </w:r>
          </w:p>
        </w:tc>
        <w:tc>
          <w:tcPr>
            <w:tcW w:w="2310" w:type="dxa"/>
            <w:gridSpan w:val="2"/>
          </w:tcPr>
          <w:p>
            <w:pPr/>
            <w:r>
              <w:rPr>
                <w:lang w:val="zh-CN"/>
                <w:rFonts w:ascii="Times New Roman" w:hAnsi="Times New Roman" w:cs="Times New Roman"/>
                <w:sz w:val="20"/>
                <w:szCs w:val="20"/>
                <w:color w:val="000000"/>
              </w:rPr>
              <w:t>850-300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总金额：壹万零玖拾元整</w:t>
            </w:r>
          </w:p>
        </w:tc>
        <w:tc>
          <w:tcPr>
            <w:tcW w:w="2310" w:type="dxa"/>
            <w:textDirection w:val="right"/>
            <w:gridSpan w:val="3"/>
          </w:tcPr>
          <w:p>
            <w:pPr/>
            <w:r>
              <w:rPr>
                <w:lang w:val="zh-CN"/>
                <w:rFonts w:ascii="Times New Roman" w:hAnsi="Times New Roman" w:cs="Times New Roman"/>
                <w:b/>
                <w:color w:val="FF0000"/>
              </w:rPr>
              <w:t>10090.00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交通银行股份有限公司云南省分行营业部</w:t>
            </w:r>
          </w:p>
        </w:tc>
        <w:tc>
          <w:tcPr>
            <w:tcW w:w="2310" w:type="dxa"/>
            <w:gridSpan w:val="2"/>
          </w:tcPr>
          <w:p>
            <w:pPr/>
            <w:r>
              <w:rPr>
                <w:lang w:val="zh-CN"/>
                <w:rFonts w:ascii="Times New Roman" w:hAnsi="Times New Roman" w:cs="Times New Roman"/>
                <w:sz w:val="20"/>
                <w:szCs w:val="20"/>
                <w:color w:val="000000"/>
              </w:rPr>
              <w:t>云南尚睿天城国际旅行社有限公司</w:t>
            </w:r>
          </w:p>
        </w:tc>
        <w:tc>
          <w:tcPr>
            <w:tcW w:w="2310" w:type="dxa"/>
            <w:gridSpan w:val="3"/>
          </w:tcPr>
          <w:p>
            <w:pPr/>
            <w:r>
              <w:rPr>
                <w:lang w:val="zh-CN"/>
                <w:rFonts w:ascii="Times New Roman" w:hAnsi="Times New Roman" w:cs="Times New Roman"/>
                <w:sz w:val="20"/>
                <w:szCs w:val="20"/>
                <w:color w:val="000000"/>
              </w:rPr>
              <w:t>531899991013001071107</w:t>
            </w:r>
          </w:p>
        </w:tc>
      </w:tr>
      <w:tr>
        <w:tc>
          <w:tcPr>
            <w:tcW w:w="2310" w:type="dxa"/>
            <w:gridSpan w:val="3"/>
          </w:tcPr>
          <w:p>
            <w:pPr/>
            <w:r>
              <w:rPr>
                <w:lang w:val="zh-CN"/>
                <w:rFonts w:ascii="Times New Roman" w:hAnsi="Times New Roman" w:cs="Times New Roman"/>
                <w:sz w:val="20"/>
                <w:szCs w:val="20"/>
                <w:color w:val="000000"/>
              </w:rPr>
              <w:t>中国银行东风支行行</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gridSpan w:val="3"/>
          </w:tcPr>
          <w:p>
            <w:pPr/>
            <w:r>
              <w:rPr>
                <w:lang w:val="zh-CN"/>
                <w:rFonts w:ascii="Times New Roman" w:hAnsi="Times New Roman" w:cs="Times New Roman"/>
                <w:sz w:val="20"/>
                <w:szCs w:val="20"/>
                <w:color w:val="000000"/>
              </w:rPr>
              <w:t>137237571586</w:t>
            </w:r>
          </w:p>
        </w:tc>
      </w:tr>
      <w:tr>
        <w:tc>
          <w:tcPr>
            <w:tcW w:w="2310" w:type="dxa"/>
            <w:gridSpan w:val="3"/>
          </w:tcPr>
          <w:p>
            <w:pPr/>
            <w:r>
              <w:rPr>
                <w:lang w:val="zh-CN"/>
                <w:rFonts w:ascii="Times New Roman" w:hAnsi="Times New Roman" w:cs="Times New Roman"/>
                <w:sz w:val="20"/>
                <w:szCs w:val="20"/>
                <w:color w:val="000000"/>
              </w:rPr>
              <w:t>建设银行-白龙路支行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6217003860003124409</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6217562700029040440</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杜建军</w:t>
            </w:r>
          </w:p>
        </w:tc>
        <w:tc>
          <w:tcPr>
            <w:tcW w:w="2310" w:type="dxa"/>
            <w:gridSpan w:val="3"/>
          </w:tcPr>
          <w:p>
            <w:pPr/>
            <w:r>
              <w:rPr>
                <w:lang w:val="zh-CN"/>
                <w:rFonts w:ascii="Times New Roman" w:hAnsi="Times New Roman" w:cs="Times New Roman"/>
                <w:sz w:val="20"/>
                <w:szCs w:val="20"/>
                <w:color w:val="000000"/>
              </w:rPr>
              <w:t>6212262502004080803</w:t>
            </w:r>
          </w:p>
        </w:tc>
      </w:tr>
      <w:tr>
        <w:tc>
          <w:tcPr>
            <w:tcW w:w="2310" w:type="dxa"/>
            <w:gridSpan w:val="3"/>
          </w:tcPr>
          <w:p>
            <w:pPr/>
            <w:r>
              <w:rPr>
                <w:lang w:val="zh-CN"/>
                <w:rFonts w:ascii="Times New Roman" w:hAnsi="Times New Roman" w:cs="Times New Roman"/>
                <w:sz w:val="20"/>
                <w:szCs w:val="20"/>
                <w:color w:val="000000"/>
              </w:rPr>
              <w:t>交通银行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622262 0590000 402556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昆明-桂林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您乘坐劢车抵达桂林两江机场/桂林火车站，下飞机领叏行李后至出站口，出站以后请看桂时光接站牌，有穿少数民族朋装接站员在出站口丼“客人代表名字“的接站牌接站，（如果到达的较早您可以到中心广场旁的正阳路步行街，逛夜市品尝正宗的桂林小吃（桂林米粉、恭城油茶、红薯粉、艵叶粑粑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古东瀑布-象鼻山-榕、杉湖景区-梦幻漓江或山水间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享用酒店自助早餐。前往大圩游览全国唯一一个由地下涌泉形成的多级串联瀑布、原生态瀑布群、可以触摸的瀑布【古东瀑布】（4A级，游览约120分钟），在这里您可以与桂林的山、桂林的水进行最亲密的接触，穿上草鞋，挽起裤腿来换一种方式体验夏日的清凉！感受大自然之神奇。游览桂林城徽【象鼻山】（5A级，游览约40分钟），其山酷似一头驻足漓江边临流饮水的大象，栩栩如生，引人入胜，山体前部的水月洞，弯如满月，穿透山体，清碧的江水从洞中穿鼻而过，洞影倒映江面，构成“水底有明月，水上明月浮”的奇观。游览桂林最优美的风景园林和丰厚的历史文化于一体的城市开放式中央公园【榕、杉湖景区】日月双塔（外景）、湖心岛建筑、玻璃桥、古南门、系舟亭观景、诗文碑刻等胜景。特别安排带您进入“玄幻梦山水，神岩舞灵蝠”的【山水间】（演出约70分钟）。她是一台由曾执导08年北京奥运会及2010年广州亚运会的章东新导演编剧、策划、精心打造的旅游舞台秀。让您领略“庞桶沐娇娥”这一惊艳却不媚俗、民族却又现代的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三星级豪华大漓江-银子岩-十里画廊-遇龙河双人漂-阳朔西街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赴磨盘山码头，乘坐桂林豪华星级游船游览百里画廊【三星级豪华大漓江】（5A级，游览约4.5小时，中餐为船上航空餐）感受唐代诗人韩俞笔下：“江做青罗带，山如碧玉簪”的漓江风光，漓江像蜿蜒的玉带，缠绕在苍翠的奇峰中，造化为世界上规模最大、景色最为优美的岩溶景区。在美国CNN评选的《全球最美的十五条河流》中，漓江是我国唯一一条入选的河流。沿途欣赏杨堤烟雨，浪石仙境，九马画山、黄布倒影，兴坪佳境……游人仿佛置身于一幅流动的山水画之间。漓江船抵达阳朔码头后前往酒店或停车场（政府规定旅游车不能去码头接人，码头至停车场电瓶车15元/人自理）。乘车赴荔浦，游览世界溶洞奇观【银子岩】（4A级，游览约60分钟），银子岩是桂林旅游景点中出现的一颗璀璨的明珠，集自然、人文景观于一体，以音乐石屏、广寒宫、雪山飞瀑和佛祖论经、独柱擎天、混元珍珠伞等景点为代表，素有“游了银子岩，一世不缺钱”。车揽【十里画廊】，这里是最独特的卡斯特岩溶地貌和最迷人的田园风光，令人心旷神怡，乘车漫游其间，就好像在欣赏一幅徐徐展开的中国山水画的长卷，一路观来，真是好山好水好风光。遇龙河漂流位于遇龙河景区内，坐上缓慢的竹筏，看两岸连绵起伏的山峰和田园风光，沿途还会经过小镇和很多古桥，底下则是清澈的河面，安静又放松，游览正所谓“不是漓江、胜似漓江”的【遇龙河竹筏漂流】（4A级，双人筏，游览约40分钟）。晚上自由前往【阳朔西街】（司机导游不陪同、晚上十点钟左右为西街最热闹繁华时间段）自由闲逛驰名中外的中华第一洋人街，您可以精心挑选当地手工艺挂件、蜡染和仿古服饰等。漫步西街独有的青石板街道，领略独特的欧陆风情（自由活动期间注意安全并保管好贵重物品，谨记导游告知的注意事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早餐：含；午餐：含；晚餐：不含；住宿：阳朔</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世外桃源-七星公园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享用酒店自助早餐。游览央视著名广告《康美之恋》主要采景地【世外桃源】（4A级，游览约60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游览桂林市最大的综合性公园【七星公园】（花桥、骆驼峰、华夏之光广场、克林顿演讲处、栖霞寺）（游览约90分钟）；景区位于桂林市区漓江东岸，因七星山的七个山峰，犹如天上的北斗七星坠地而得名。景区集桂林山、水、洞、石、庭院、建筑、文物之大成，是桂林山水精华景观的缩影，著名的景点有：花桥、华夏之光、驼峰秀色、克林顿演讲处等；超值赠送：网红旅拍（5寸相片1张+服装）独家免费赠送每人免费穿戴少数民族服装让你随心拍摄风景（赠送项目不游览不退费用）。前往桂林万福广场漓·品桂市民超市购买当地特产馈赠亲朋好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桂林-昆明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根据列车时间，桂林火车站乘坐车次返回，结束愉快旅程！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准五星酒店桂林民丰国际大酒庖、金水湾大酒庖、睿吆西山、铂悦酒庖、桔子酒庖、鑫海国际大酒庖、中水国际、天街国际大酒庖、亿顺戴斯酒庖、怡家酒庖、桂林国际飡庖戒同级阳朔县城准五星酒店豪源国际、万丽花园、铂漫、新丐纨主楼、菘舍大酒庖、木童假日酒庖、碧玉国际大酒庖、月光度假、佝好酒庖戒同级备注桂林为国家三线以下旅游城市，酒庖各项标准偏低，主要以卫生舒适为主，提前做好心理准备哦！如客人对上述参考酒庖安排丌满意，处理斱案如下：1、挄实收价格退给客人自行订房，2、可自补当时差价升级客人满意的更高标准酒庖！3、如若遇以上酒庖无房情况下，可安排同等级酒庖，如我社拿到比计划酒庖档次更高丏价格保险服务：已购乣桂林旅行社责仸险，确保游客安全保障；用餐标准：全程含3早3正（其中一飠为船飠，其他正飠40元/人/正，早飠自劣，团队正飠十人围桌、八菜一汤，丌足十人菜数相应减少，散客当团丌足4人正飠自理）导游服务：与业导游讲解朋务（丌足八人提供导游兼职司机朋务）；儿童费用：1.4m以下儿童只含正飠飠贶卉价呾车位贶，其他贶用丌含；只含卉飠+车位的儿童超高产生的门票，贶用敬请家长自理！包括赠送景区，超高贶用敬请自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东风巷门市</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杜倩</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2025/8/10 10:46:58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