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贵阳中国旅行社团队/散客确认书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黔贵文旅</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张林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13595133123</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贵阳中国旅行社有限责任公司（南明部）</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赵德文</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17716675333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00106CR250713A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纵享粤港澳双动6日游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2025-07-13</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2025-07-18</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1530.00</w:t>
            </w:r>
          </w:p>
        </w:tc>
        <w:tc>
          <w:tcPr>
            <w:tcW w:w="2310" w:type="dxa"/>
          </w:tcPr>
          <w:p>
            <w:pPr/>
            <w:r>
              <w:rPr>
                <w:lang w:val="zh-CN"/>
                <w:rFonts w:ascii="Times New Roman" w:hAnsi="Times New Roman" w:cs="Times New Roman"/>
                <w:sz w:val="20"/>
                <w:szCs w:val="20"/>
                <w:color w:val="000000"/>
              </w:rPr>
              <w:t>3060.00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总金额：叁仟零陆拾元整</w:t>
            </w:r>
          </w:p>
        </w:tc>
        <w:tc>
          <w:tcPr>
            <w:tcW w:w="2310" w:type="dxa"/>
            <w:textDirection w:val="right"/>
            <w:gridSpan w:val="3"/>
          </w:tcPr>
          <w:p>
            <w:pPr/>
            <w:r>
              <w:rPr>
                <w:lang w:val="zh-CN"/>
                <w:rFonts w:ascii="Times New Roman" w:hAnsi="Times New Roman" w:cs="Times New Roman"/>
                <w:b/>
                <w:color w:val="FF0000"/>
              </w:rPr>
              <w:t>3060.00</w:t>
            </w:r>
          </w:p>
        </w:tc>
      </w:tr>
      <w:tr>
        <w:tc>
          <w:tcPr>
            <w:tcW w:w="2310" w:type="dxa"/>
            <w:gridSpan w:val="8"/>
          </w:tcPr>
          <w:p>
            <w:pPr/>
            <w:r>
              <w:rPr>
                <w:lang w:val="zh-CN"/>
                <w:rFonts w:ascii="Times New Roman" w:hAnsi="Times New Roman" w:cs="Times New Roman"/>
                <w:sz w:val="20"/>
                <w:szCs w:val="20"/>
                <w:color w:val="000000"/>
              </w:rPr>
              <w:t>贵阳起，回程都匀下车</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w:t>
            </w:r>
          </w:p>
        </w:tc>
        <w:tc>
          <w:tcPr>
            <w:tcW w:w="2310" w:type="dxa"/>
            <w:gridSpan w:val="2"/>
          </w:tcPr>
          <w:p>
            <w:pPr/>
            <w:r>
              <w:rPr>
                <w:lang w:val="zh-CN"/>
                <w:rFonts w:ascii="Times New Roman" w:hAnsi="Times New Roman" w:cs="Times New Roman"/>
                <w:sz w:val="20"/>
                <w:szCs w:val="20"/>
                <w:color w:val="000000"/>
              </w:rPr>
              <w:t>赵德文</w:t>
            </w:r>
          </w:p>
        </w:tc>
        <w:tc>
          <w:tcPr>
            <w:tcW w:w="2310" w:type="dxa"/>
            <w:gridSpan w:val="3"/>
          </w:tcPr>
          <w:p>
            <w:pPr/>
            <w:r>
              <w:rPr>
                <w:lang w:val="zh-CN"/>
                <w:rFonts w:ascii="Times New Roman" w:hAnsi="Times New Roman" w:cs="Times New Roman"/>
                <w:sz w:val="20"/>
                <w:szCs w:val="20"/>
                <w:color w:val="000000"/>
              </w:rPr>
              <w:t>6217007100035111876</w:t>
            </w:r>
          </w:p>
        </w:tc>
      </w:tr>
      <w:tr>
        <w:tc>
          <w:tcPr>
            <w:tcW w:w="2310" w:type="dxa"/>
            <w:gridSpan w:val="3"/>
          </w:tcPr>
          <w:p>
            <w:pPr/>
            <w:r>
              <w:rPr>
                <w:lang w:val="zh-CN"/>
                <w:rFonts w:ascii="Times New Roman" w:hAnsi="Times New Roman" w:cs="Times New Roman"/>
                <w:sz w:val="20"/>
                <w:szCs w:val="20"/>
                <w:color w:val="000000"/>
              </w:rPr>
              <w:t>中国工商银行</w:t>
            </w:r>
          </w:p>
        </w:tc>
        <w:tc>
          <w:tcPr>
            <w:tcW w:w="2310" w:type="dxa"/>
            <w:gridSpan w:val="2"/>
          </w:tcPr>
          <w:p>
            <w:pPr/>
            <w:r>
              <w:rPr>
                <w:lang w:val="zh-CN"/>
                <w:rFonts w:ascii="Times New Roman" w:hAnsi="Times New Roman" w:cs="Times New Roman"/>
                <w:sz w:val="20"/>
                <w:szCs w:val="20"/>
                <w:color w:val="000000"/>
              </w:rPr>
              <w:t>赵德文</w:t>
            </w:r>
          </w:p>
        </w:tc>
        <w:tc>
          <w:tcPr>
            <w:tcW w:w="2310" w:type="dxa"/>
            <w:gridSpan w:val="3"/>
          </w:tcPr>
          <w:p>
            <w:pPr/>
            <w:r>
              <w:rPr>
                <w:lang w:val="zh-CN"/>
                <w:rFonts w:ascii="Times New Roman" w:hAnsi="Times New Roman" w:cs="Times New Roman"/>
                <w:sz w:val="20"/>
                <w:szCs w:val="20"/>
                <w:color w:val="000000"/>
              </w:rPr>
              <w:t>6212262402014185454</w:t>
            </w:r>
          </w:p>
        </w:tc>
      </w:tr>
      <w:tr>
        <w:tc>
          <w:tcPr>
            <w:tcW w:w="2310" w:type="dxa"/>
            <w:gridSpan w:val="3"/>
          </w:tcPr>
          <w:p>
            <w:pPr/>
            <w:r>
              <w:rPr>
                <w:lang w:val="zh-CN"/>
                <w:rFonts w:ascii="Times New Roman" w:hAnsi="Times New Roman" w:cs="Times New Roman"/>
                <w:sz w:val="20"/>
                <w:szCs w:val="20"/>
                <w:color w:val="000000"/>
              </w:rPr>
              <w:t>贵阳中国旅行社有限责任公司</w:t>
            </w:r>
          </w:p>
        </w:tc>
        <w:tc>
          <w:tcPr>
            <w:tcW w:w="2310" w:type="dxa"/>
            <w:gridSpan w:val="2"/>
          </w:tcPr>
          <w:p>
            <w:pPr/>
            <w:r>
              <w:rPr>
                <w:lang w:val="zh-CN"/>
                <w:rFonts w:ascii="Times New Roman" w:hAnsi="Times New Roman" w:cs="Times New Roman"/>
                <w:sz w:val="20"/>
                <w:szCs w:val="20"/>
                <w:color w:val="000000"/>
              </w:rPr>
              <w:t>贵阳中国旅行社有限责任公司</w:t>
            </w:r>
          </w:p>
        </w:tc>
        <w:tc>
          <w:tcPr>
            <w:tcW w:w="2310" w:type="dxa"/>
            <w:gridSpan w:val="3"/>
          </w:tcPr>
          <w:p>
            <w:pPr/>
            <w:r>
              <w:rPr>
                <w:lang w:val="zh-CN"/>
                <w:rFonts w:ascii="Times New Roman" w:hAnsi="Times New Roman" w:cs="Times New Roman"/>
                <w:sz w:val="20"/>
                <w:szCs w:val="20"/>
                <w:color w:val="000000"/>
              </w:rPr>
              <w:t>2402002609004606307</w:t>
            </w:r>
          </w:p>
        </w:tc>
      </w:tr>
      <w:tr>
        <w:tc>
          <w:tcPr>
            <w:tcW w:w="2310" w:type="dxa"/>
            <w:gridSpan w:val="3"/>
          </w:tcPr>
          <w:p>
            <w:pPr/>
            <w:r>
              <w:rPr>
                <w:lang w:val="zh-CN"/>
                <w:rFonts w:ascii="Times New Roman" w:hAnsi="Times New Roman" w:cs="Times New Roman"/>
                <w:sz w:val="20"/>
                <w:szCs w:val="20"/>
                <w:color w:val="000000"/>
              </w:rPr>
              <w:t>微信收支</w:t>
            </w:r>
          </w:p>
        </w:tc>
        <w:tc>
          <w:tcPr>
            <w:tcW w:w="2310" w:type="dxa"/>
            <w:gridSpan w:val="2"/>
          </w:tcPr>
          <w:p>
            <w:pPr/>
            <w:r>
              <w:rPr>
                <w:lang w:val="zh-CN"/>
                <w:rFonts w:ascii="Times New Roman" w:hAnsi="Times New Roman" w:cs="Times New Roman"/>
                <w:sz w:val="20"/>
                <w:szCs w:val="20"/>
                <w:color w:val="000000"/>
              </w:rPr>
              <w:t>赵德文</w:t>
            </w:r>
          </w:p>
        </w:tc>
        <w:tc>
          <w:tcPr>
            <w:tcW w:w="2310" w:type="dxa"/>
            <w:gridSpan w:val="3"/>
          </w:tcPr>
          <w:p>
            <w:pPr/>
            <w:r>
              <w:rPr>
                <w:lang w:val="zh-CN"/>
                <w:rFonts w:ascii="Times New Roman" w:hAnsi="Times New Roman" w:cs="Times New Roman"/>
                <w:sz w:val="20"/>
                <w:szCs w:val="20"/>
                <w:color w:val="000000"/>
              </w:rPr>
              <w:t>17716675333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2025/07/13</w:t>
            </w:r>
          </w:p>
        </w:tc>
        <w:tc>
          <w:tcPr>
            <w:tcW w:w="2310" w:type="dxa"/>
            <w:gridSpan w:val="7"/>
          </w:tcPr>
          <w:p>
            <w:pPr/>
            <w:r>
              <w:rPr>
                <w:lang w:val="zh-CN"/>
                <w:rFonts w:ascii="Times New Roman" w:hAnsi="Times New Roman" w:cs="Times New Roman"/>
                <w:b/>
                <w:color w:val="000000"/>
              </w:rPr>
              <w:t>出发地-广州(动车)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尊敬的贵宾，欢迎参加粤港澳大湾区旅游行程，贵宾按照预定的动车时间，请至少以前1.5小时前抵达车站候车上车，抵达后接客人入住酒店，后自由活动。注：客人到达当天我社工作人员会逐一跟游客联系，以最新通知为准，请保持手机畅通，出发时请务必检查携带好有效《居民身份证》和《往来港澳通行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早餐：不含；午餐：不含；晚餐：不含；住宿：团队标间</w:t>
            </w:r>
          </w:p>
        </w:tc>
      </w:tr>
      <w:tr>
        <w:tc>
          <w:tcPr>
            <w:tcW w:w="2310" w:type="dxa"/>
            <w:vAlign w:val="center"/>
            <w:vMerge w:val="restart"/>
          </w:tcPr>
          <w:p>
            <w:pPr/>
            <w:r>
              <w:rPr>
                <w:lang w:val="zh-CN"/>
                <w:rFonts w:ascii="Times New Roman" w:hAnsi="Times New Roman" w:cs="Times New Roman"/>
                <w:sz w:val="20"/>
                <w:szCs w:val="20"/>
                <w:color w:val="000000"/>
              </w:rPr>
              <w:t>2025/07/14</w:t>
            </w:r>
          </w:p>
        </w:tc>
        <w:tc>
          <w:tcPr>
            <w:tcW w:w="2310" w:type="dxa"/>
            <w:gridSpan w:val="7"/>
          </w:tcPr>
          <w:p>
            <w:pPr/>
            <w:r>
              <w:rPr>
                <w:lang w:val="zh-CN"/>
                <w:rFonts w:ascii="Times New Roman" w:hAnsi="Times New Roman" w:cs="Times New Roman"/>
                <w:b/>
                <w:color w:val="000000"/>
              </w:rPr>
              <w:t>黄埔军校-花城广场-广州塔-海心沙-大梅沙海滨公园-人才公园(巴士)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参观中国国共将帅的摇篮，曾经的世界五大军事名校之一的【黄埔军校】(约40分钟，属免费开放，周一政策性闭馆，无退费，景点每周一换成中山纪念堂或者其他景点)，黄埔军校是孙中山先生在中国共产党和苏联的积极支持和帮助下创办的，是第一次国共合作的产物。作为中国现代历史上第一所培养革命干部的新型军事政治学校，其影响之深远，作用之巨大，名声之显赫，都是始料所不及。随后前往游览“新中轴线【花城广场】（游约1小时），感受广州城市“大变”新成就。在广场上可外观到广东省博物馆、广州歌剧院，外观广州新电视塔"小蛮腰"--又名【广州塔】（不登塔）又称广州新电视塔，昵称小蛮腰。位于广州市海珠区（艺洲岛）赤岗塔附近，距离珠江南岸125米，与珠江新城、花城广场、海心沙岛隔江相望。广州塔塔身主体高454米，天线桅杆高146米，总高度600米。是中国第一高塔，世界第二高塔，仅次于东京晴空塔。游览亚运会开闭幕式场地【海心沙】，在此能看到场内的部分设施，如帆屏、威亚等都会作为广州亚运会的遗产予以保留。结束后乘车途径【深中通道】前往-【中国第一特区-深圳】。抵达深圳后，参观游览深圳东部大鹏湾畔的【大梅沙海滨公园】（游览时间约40分钟），这里拥有广阔的沙滩，沙质细腻，海水湛蓝清澈，是享受阳光沙滩、尽情畅玩海水的绝佳之地。设有多种水上娱乐项目，让游客体验刺激与欢乐。公园配套完善，周边餐饮、住宿便利。同时，它也是观赏海上日出日落的好地方，绚丽景色令人陶醉。每到节假日，便吸引着众多游客前来，感受滨海度假的惬意氛围；之后游览【深圳人才公园】（游览时间约40分钟）深圳人才公园位于深圳市南山区，是全国首个以“人才”命名的主题公园。公园依海而建，风景绝美。园内有众多特色景观，如人才功勋墙，展示各界杰出人才风采；人才雕塑园，矗立着各类寓意深刻的人才主题雕塑。这里还设有丰富的休闲区域，供市民放松休憩。它不仅是休闲好去处，更是宣扬人才理念的重要场所，通过各类展示与活动，凸显对人才的尊重与重视，吸引着众多游客前来感受独特的人才文化氛围。随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早餐：含；午餐：含；晚餐：含；住宿：团队标间</w:t>
            </w:r>
          </w:p>
        </w:tc>
      </w:tr>
      <w:tr>
        <w:tc>
          <w:tcPr>
            <w:tcW w:w="2310" w:type="dxa"/>
            <w:vAlign w:val="center"/>
            <w:vMerge w:val="restart"/>
          </w:tcPr>
          <w:p>
            <w:pPr/>
            <w:r>
              <w:rPr>
                <w:lang w:val="zh-CN"/>
                <w:rFonts w:ascii="Times New Roman" w:hAnsi="Times New Roman" w:cs="Times New Roman"/>
                <w:sz w:val="20"/>
                <w:szCs w:val="20"/>
                <w:color w:val="000000"/>
              </w:rPr>
              <w:t>2025/07/15</w:t>
            </w:r>
          </w:p>
        </w:tc>
        <w:tc>
          <w:tcPr>
            <w:tcW w:w="2310" w:type="dxa"/>
            <w:gridSpan w:val="7"/>
          </w:tcPr>
          <w:p>
            <w:pPr/>
            <w:r>
              <w:rPr>
                <w:lang w:val="zh-CN"/>
                <w:rFonts w:ascii="Times New Roman" w:hAnsi="Times New Roman" w:cs="Times New Roman"/>
                <w:b/>
                <w:color w:val="000000"/>
              </w:rPr>
              <w:t>莲塘口岸-入境香港-黄大仙-香港历史博物馆-星光大道-金紫荆广场-外观天际100-太平山-浅水湾泳滩-天星小轮游维港(巴士)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在专业人员带领下经【莲塘口岸】出关，搭乘旅游巴士前往香港，后于【黄大仙】（40分钟）烧香祈福：祝福亲人、朋友，还有您心爱的人平安、幸福！游览香港【香港历史博物馆】（约30分钟，注：该馆逢周二闭馆，不能参观），香港历史博物馆于1975年创立。该馆展出中国香港的出土文物、历史图片、图画和地图等，并定时举办文化活动和展出一些有关香港历史或各国珍贵的历史文物是了解香港历史文化的最佳场地。后前往【星光大道】（约30分钟），它是位于尖沙咀维多利亚港岸边的一段观景海滨长廊，它效仿洛杉矶好莱坞的星光大道而建，用以纪念香港电影业的发展史。将杰出电影工作者的芳名与手掌印镶嵌在特制的纪念牌上，并以年代依次排列展示，让访客了解香港的发展及风土人情。外观【天际100香港最高楼】天际100位于全港最高建筑物环球贸易广场（ICC）。尖沙咀是九龙的明珠，白天弥敦道两旁的美食餐厅、国际精品店里游客如织，游游毕前往餐厅用午餐，午餐后，可自行在香港街边免税商场选购自己所需物品，接着赴港岛参观香港【会展中心新翼和金紫荆广场】（约20分钟），这里为香港回归祖国的见证，团友可于“永远盛开的紫荆花”及回归的纪念碑旁拍照留念。前往【浅水湾泳滩】（30分钟）是香港最具代表性的美丽海湾，这里遍布豪华住宅，其中包括香港巨商李嘉诚、包玉刚的豪华私宅。这些依山傍水的建筑，构成了浅水湾独特风景，令人流连忘返。【太平山】（15分钟）太平山顶是是鸟瞰壮丽海港、绚丽市景的理想地。后坐天星小轮游维多利亚湾【天星小轮-游维多利亚港】（赠送项目10分钟：遇特殊因素不能乘坐的概不退款，敬请谅解！备注:如需升级洋紫荆豪华游船视当天船位情况自愿选择，增加费用自理），游毕乘车返回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早餐：含；午餐：含；晚餐：含；住宿：团队标间</w:t>
            </w:r>
          </w:p>
        </w:tc>
      </w:tr>
      <w:tr>
        <w:tc>
          <w:tcPr>
            <w:tcW w:w="2310" w:type="dxa"/>
            <w:vAlign w:val="center"/>
            <w:vMerge w:val="restart"/>
          </w:tcPr>
          <w:p>
            <w:pPr/>
            <w:r>
              <w:rPr>
                <w:lang w:val="zh-CN"/>
                <w:rFonts w:ascii="Times New Roman" w:hAnsi="Times New Roman" w:cs="Times New Roman"/>
                <w:sz w:val="20"/>
                <w:szCs w:val="20"/>
                <w:color w:val="000000"/>
              </w:rPr>
              <w:t>2025/07/16</w:t>
            </w:r>
          </w:p>
        </w:tc>
        <w:tc>
          <w:tcPr>
            <w:tcW w:w="2310" w:type="dxa"/>
            <w:gridSpan w:val="7"/>
          </w:tcPr>
          <w:p>
            <w:pPr/>
            <w:r>
              <w:rPr>
                <w:lang w:val="zh-CN"/>
                <w:rFonts w:ascii="Times New Roman" w:hAnsi="Times New Roman" w:cs="Times New Roman"/>
                <w:b/>
                <w:color w:val="000000"/>
              </w:rPr>
              <w:t>香港人工岛-港珠澳大桥-妈祖庙-澳门大三巴牌坊-威尼斯人赌城-金莲花广场-银河钻石-手信综合商场-珠海(巴士)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由领队带领到【香港人工岛】乘【金巴车】（费用已含）游号称世界第八大奇迹的【港珠澳大桥】，澳门当地导游在【澳门人工岛】接团后乘车前往参观澳门景点【妈祖庙】（约15分钟）澳门妈祖庙又称妈阁庙，坐落在澳门半岛的西南端。它是澳门最古老的庙宇，供奉着海上女神妈祖。庙宇建筑古色古香，富有传统中式风格。这里常年香火旺盛，游客与信徒络绎不绝，见证着澳门的历史变迁与海洋文化传承。【大三巴牌坊】（约15分钟）澳门大三巴牌坊，是澳门的标志性建筑之一。它原为圣保禄大教堂的前壁，融合了欧洲文艺复兴时期与东方建筑的风格特色。大三巴牌坊雕刻精细，巍峨壮观，其层层叠叠的浮雕诉说着历史的沧桑与辉煌。历经岁月洗礼和多次修缮，它见证了澳门的历史变迁与中西方文化的交融。如今，这里是游客必到的打卡胜地，人们在此感受澳门的独特魅力，缅怀往昔，展望未来，它也成为了澳门历史文化的不朽象征和连接世界的重要文化纽带。【大炮台】（约15分钟）又名圣保禄炮台、中央炮台或大三巴炮台，位于澳门市区中央，邻近大三巴牌坊。它是中国现存最古老的西式炮台之一，也是澳门众多炮台中规模最大、最古老的炮台。车观澳门地标【新老葡京酒店】【巴黎人铁塔】【九九回归场金莲花广场】；之后逛澳门【手信综合百货商场】（约60分钟）随意选购有名的特色小吃或者生活用品带回送给家人亲戚朋友等，之后参观银河酒店【钻石表演秀】（约30分钟），在大堂的正中央舞台，随着音乐及声光效果的呈现，高达3公尺的的闪亮超大钻石水晶灯饰，在水幕中央旋转，带给旅客财来运转的好兆头！后前往以美国拉斯维加斯威尼斯创意为主题的【威尼斯人度假城】（约1.5小时）酒店内充满威尼斯特色拱桥、运河及石板路，这里有着世界最壮观的室内白天蓝天白云，夜间繁星密布，一切都充满威尼斯人浪漫狂放的异国风情；之后乘车经过【拱北口岸或珠海人工岛】返回珠海享用晚餐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早餐：含；午餐：含；晚餐：含；住宿：团队标间</w:t>
            </w:r>
          </w:p>
        </w:tc>
      </w:tr>
      <w:tr>
        <w:tc>
          <w:tcPr>
            <w:tcW w:w="2310" w:type="dxa"/>
            <w:vAlign w:val="center"/>
            <w:vMerge w:val="restart"/>
          </w:tcPr>
          <w:p>
            <w:pPr/>
            <w:r>
              <w:rPr>
                <w:lang w:val="zh-CN"/>
                <w:rFonts w:ascii="Times New Roman" w:hAnsi="Times New Roman" w:cs="Times New Roman"/>
                <w:sz w:val="20"/>
                <w:szCs w:val="20"/>
                <w:color w:val="000000"/>
              </w:rPr>
              <w:t>2025/07/17</w:t>
            </w:r>
          </w:p>
        </w:tc>
        <w:tc>
          <w:tcPr>
            <w:tcW w:w="2310" w:type="dxa"/>
            <w:gridSpan w:val="7"/>
          </w:tcPr>
          <w:p>
            <w:pPr/>
            <w:r>
              <w:rPr>
                <w:lang w:val="zh-CN"/>
                <w:rFonts w:ascii="Times New Roman" w:hAnsi="Times New Roman" w:cs="Times New Roman"/>
                <w:b/>
                <w:color w:val="000000"/>
              </w:rPr>
              <w:t>珠海香炉湾沙滩-渔女像-日月贝歌剧院-4A景区罗西尼-圆明新园-中山故居-广州(巴士)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珠海的徽标——【渔女像】、漫步浪漫珠海的【情侣路】、【香炉湾沙滩】宽约90米的金色细沙沙滩一直绵延1.5公里，尉为壮观，让人‘惊艳’。走在沙滩上吹吹海风，看看海，感觉也是心旷神怡，神清气爽。后游览珠海新地标——【日月贝歌剧院】（约30分钟）中国唯一建设在海岛上的歌剧院，由一大一小两组“贝壳”组成，构成了歌剧院的整体形象，因此又称为“日月贝”，后前往珠海【圆明新园】（60分钟）以北京圆明园为原稿，按1：1比例精选圆明园四十景中的十八景修建而成，投资6亿元人民币，它融古典皇家建筑群、江南古典园林建之幻境，将一座座仙山琼阁散落于福海周围，按“徐福海中求”之寓意，把东湖命名为福海。它是当年皇帝及后妃们游湖、观龙舟、观烟火的好去处。【罗西尼博物馆】（60分钟）博物馆分为四大主题展馆：科普馆、典藏馆、冠城精品馆、钟表文化馆。其中，科普馆分为古代计时仪器展览区、近代中国四大流派钟表展览区、观赏西洋钟展区、微型钟表展区、国内外腕表展示区、钟表科普展览区、多媒体互动体验区，典藏馆设有各类艺术钟表专题展览。后到中山市参观【中山故居】（60分钟）孙中山故居纪念馆位于广东省中山市翠亨村，成立于1956年，管理范围20万平方米，现为国家一级博物馆、国家AAAAA级旅游景区核心景区，前往酒店入住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早餐：含；午餐：含；晚餐：含；住宿：团队标间</w:t>
            </w:r>
          </w:p>
        </w:tc>
      </w:tr>
      <w:tr>
        <w:tc>
          <w:tcPr>
            <w:tcW w:w="2310" w:type="dxa"/>
            <w:vAlign w:val="center"/>
            <w:vMerge w:val="restart"/>
          </w:tcPr>
          <w:p>
            <w:pPr/>
            <w:r>
              <w:rPr>
                <w:lang w:val="zh-CN"/>
                <w:rFonts w:ascii="Times New Roman" w:hAnsi="Times New Roman" w:cs="Times New Roman"/>
                <w:sz w:val="20"/>
                <w:szCs w:val="20"/>
                <w:color w:val="000000"/>
              </w:rPr>
              <w:t>2025/07/18</w:t>
            </w:r>
          </w:p>
        </w:tc>
        <w:tc>
          <w:tcPr>
            <w:tcW w:w="2310" w:type="dxa"/>
            <w:gridSpan w:val="7"/>
          </w:tcPr>
          <w:p>
            <w:pPr/>
            <w:r>
              <w:rPr>
                <w:lang w:val="zh-CN"/>
                <w:rFonts w:ascii="Times New Roman" w:hAnsi="Times New Roman" w:cs="Times New Roman"/>
                <w:b/>
                <w:color w:val="000000"/>
              </w:rPr>
              <w:t>广州-动车-返回出发地 ，回到温馨的家(动车)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早餐后，指定时间接客人送往车站搭乘动车返回温暖的家，结束愉快的粤港澳大湾区之旅。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出发地-广州往返动车票，当地全程旅游用车（贵阳北站/东站/龙洞堡站（不指定，如需指定按照实际票差补）；动车票不指定车次；当地用车按人数定车型，保证一人一正座）；2、餐食：含5早8正餐（大陆段早餐为桌餐或自助餐，餐食不用不退）；3、住宿：行程精选商务酒店住宿，升级入住一晚香港三星酒店，全程保证一人一床位，若是团上遇单男或者单女需配合拼房，不能接受拼房者需补单房差；4、门票：行程内标明景点的第一道门票；5、导游：出发地工作人员（领队）陪同服务，当地导游讲解服务；6、年龄：行程价格为25周岁以上报价，25周岁以下价格另议；7、保险：旅行社责任险。</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香港建议把天星小轮10分钟升级乘大船50分钟左右130元澳门推荐看表演+城市观光等约100元</w:t>
            </w:r>
          </w:p>
        </w:tc>
      </w:tr>
      <w:tr>
        <w:tc>
          <w:tcPr>
            <w:tcW w:w="2310" w:type="dxa"/>
            <w:shd w:val="clear" w:color="auto" w:fill="F0F0F0"/>
            <w:gridSpan w:val="8"/>
            <w:vAlign w:val="center"/>
          </w:tcPr>
          <w:p>
            <w:pPr/>
            <w:r>
              <w:rPr>
                <w:lang w:val="zh-CN"/>
                <w:rFonts w:ascii="Times New Roman" w:hAnsi="Times New Roman" w:cs="Times New Roman"/>
                <w:b/>
                <w:color w:val="000000"/>
              </w:rPr>
              <w:t>签证说明</w:t>
            </w:r>
          </w:p>
        </w:tc>
        <w:trPr>
          <w:trHeight w:hRule="exact" w:val="360"/>
        </w:trPr>
      </w:tr>
      <w:tr>
        <w:tc>
          <w:tcPr>
            <w:tcW w:w="2310" w:type="dxa"/>
            <w:gridSpan w:val="8"/>
          </w:tcPr>
          <w:p>
            <w:pPr/>
            <w:r>
              <w:rPr>
                <w:lang w:val="zh-CN"/>
                <w:rFonts w:ascii="Times New Roman" w:hAnsi="Times New Roman" w:cs="Times New Roman"/>
                <w:sz w:val="20"/>
                <w:szCs w:val="20"/>
                <w:color w:val="000000"/>
              </w:rPr>
              <w:t>不含往来港澳通行证及香港、澳门签注的费用，请提前检查是否在有效期。</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建议出游前购买旅游意外保险；潜水、自驾车、骑马、滑雪、漂流、攀岩等高风险项目旅行社在此特别提醒，建议投保高风险意外险种。根据中国保监会规定：意外保险投保承保年龄范围调整为2-75周岁，其中70周岁以上游客出险按保额的50%赔付，属于急性病的只承担医疗费用，不再承担其他保险责任，70周岁以上客人建议自行购买境外救援险；客人报名时需提供身份证准确信息和联系电话，必需自备前往港澳有效证件《往来港澳通行证》，检查确保有香港和澳门的签注并在有效期（使用过的需要重新签注，一个月内去过澳门的请勿报名），通行证签注类别是团队（L）或是个人旅游（G）。如因个人原因导致无法正常出行或者不能进入香港澳门，产生的费用自行承担，旅行社将收取继续收取相应的费用，敬请谅解；请游客认真填写意见书，一切以客人填写的意见书，作为处理投诉及反馈的依据；此线路不接受孕妇、患有传染病等可能危害其他旅游者健康和安全的客人及78岁以上游客的报名，如有隐瞒自身健康状况而产生意外或导致其他损失，概由游客承担，旅行社不承担责任；另外65岁以上老人家、18岁以下未成年人、残障人士、外籍人士等特殊人群单独参团，此类人群需有亲戚朋友、监护人、中文翻译陪同方可参加；65岁以上人士和特殊人群参团需要签署“健康声明书”。</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张林</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赵德文</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7</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2025/7/7 17:01:55</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