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贵阳中国旅行社团队/散客确认书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剑河港中旅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张姐，杨绍洪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15885125051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贵阳中国旅行社有限责任公司（南明部）</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丁万元</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16685208586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00106AC250913A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巽寮湾+港澳双飞6天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1699.00</w:t>
            </w:r>
          </w:p>
        </w:tc>
        <w:tc>
          <w:tcPr>
            <w:tcW w:w="2310" w:type="dxa"/>
          </w:tcPr>
          <w:p>
            <w:pPr/>
            <w:r>
              <w:rPr>
                <w:lang w:val="zh-CN"/>
                <w:rFonts w:ascii="Times New Roman" w:hAnsi="Times New Roman" w:cs="Times New Roman"/>
                <w:sz w:val="20"/>
                <w:szCs w:val="20"/>
                <w:color w:val="000000"/>
              </w:rPr>
              <w:t>1699.00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总金额：壹仟陆佰玖拾玖元整</w:t>
            </w:r>
          </w:p>
        </w:tc>
        <w:tc>
          <w:tcPr>
            <w:tcW w:w="2310" w:type="dxa"/>
            <w:textDirection w:val="right"/>
            <w:gridSpan w:val="3"/>
          </w:tcPr>
          <w:p>
            <w:pPr/>
            <w:r>
              <w:rPr>
                <w:lang w:val="zh-CN"/>
                <w:rFonts w:ascii="Times New Roman" w:hAnsi="Times New Roman" w:cs="Times New Roman"/>
                <w:b/>
                <w:color w:val="FF0000"/>
              </w:rPr>
              <w:t>1699.00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w:t>
            </w:r>
          </w:p>
        </w:tc>
        <w:tc>
          <w:tcPr>
            <w:tcW w:w="2310" w:type="dxa"/>
            <w:gridSpan w:val="2"/>
          </w:tcPr>
          <w:p>
            <w:pPr/>
            <w:r>
              <w:rPr>
                <w:lang w:val="zh-CN"/>
                <w:rFonts w:ascii="Times New Roman" w:hAnsi="Times New Roman" w:cs="Times New Roman"/>
                <w:sz w:val="20"/>
                <w:szCs w:val="20"/>
                <w:color w:val="000000"/>
              </w:rPr>
              <w:t>赵德文</w:t>
            </w:r>
          </w:p>
        </w:tc>
        <w:tc>
          <w:tcPr>
            <w:tcW w:w="2310" w:type="dxa"/>
            <w:gridSpan w:val="3"/>
          </w:tcPr>
          <w:p>
            <w:pPr/>
            <w:r>
              <w:rPr>
                <w:lang w:val="zh-CN"/>
                <w:rFonts w:ascii="Times New Roman" w:hAnsi="Times New Roman" w:cs="Times New Roman"/>
                <w:sz w:val="20"/>
                <w:szCs w:val="20"/>
                <w:color w:val="000000"/>
              </w:rPr>
              <w:t>6217007100035111876</w:t>
            </w:r>
          </w:p>
        </w:tc>
      </w:tr>
      <w:tr>
        <w:tc>
          <w:tcPr>
            <w:tcW w:w="2310" w:type="dxa"/>
            <w:gridSpan w:val="3"/>
          </w:tcPr>
          <w:p>
            <w:pPr/>
            <w:r>
              <w:rPr>
                <w:lang w:val="zh-CN"/>
                <w:rFonts w:ascii="Times New Roman" w:hAnsi="Times New Roman" w:cs="Times New Roman"/>
                <w:sz w:val="20"/>
                <w:szCs w:val="20"/>
                <w:color w:val="000000"/>
              </w:rPr>
              <w:t>中国工商银行</w:t>
            </w:r>
          </w:p>
        </w:tc>
        <w:tc>
          <w:tcPr>
            <w:tcW w:w="2310" w:type="dxa"/>
            <w:gridSpan w:val="2"/>
          </w:tcPr>
          <w:p>
            <w:pPr/>
            <w:r>
              <w:rPr>
                <w:lang w:val="zh-CN"/>
                <w:rFonts w:ascii="Times New Roman" w:hAnsi="Times New Roman" w:cs="Times New Roman"/>
                <w:sz w:val="20"/>
                <w:szCs w:val="20"/>
                <w:color w:val="000000"/>
              </w:rPr>
              <w:t>赵德文</w:t>
            </w:r>
          </w:p>
        </w:tc>
        <w:tc>
          <w:tcPr>
            <w:tcW w:w="2310" w:type="dxa"/>
            <w:gridSpan w:val="3"/>
          </w:tcPr>
          <w:p>
            <w:pPr/>
            <w:r>
              <w:rPr>
                <w:lang w:val="zh-CN"/>
                <w:rFonts w:ascii="Times New Roman" w:hAnsi="Times New Roman" w:cs="Times New Roman"/>
                <w:sz w:val="20"/>
                <w:szCs w:val="20"/>
                <w:color w:val="000000"/>
              </w:rPr>
              <w:t>6212262402014185454</w:t>
            </w:r>
          </w:p>
        </w:tc>
      </w:tr>
      <w:tr>
        <w:tc>
          <w:tcPr>
            <w:tcW w:w="2310" w:type="dxa"/>
            <w:gridSpan w:val="3"/>
          </w:tcPr>
          <w:p>
            <w:pPr/>
            <w:r>
              <w:rPr>
                <w:lang w:val="zh-CN"/>
                <w:rFonts w:ascii="Times New Roman" w:hAnsi="Times New Roman" w:cs="Times New Roman"/>
                <w:sz w:val="20"/>
                <w:szCs w:val="20"/>
                <w:color w:val="000000"/>
              </w:rPr>
              <w:t>工行中西支行</w:t>
            </w:r>
          </w:p>
        </w:tc>
        <w:tc>
          <w:tcPr>
            <w:tcW w:w="2310" w:type="dxa"/>
            <w:gridSpan w:val="2"/>
          </w:tcPr>
          <w:p>
            <w:pPr/>
            <w:r>
              <w:rPr>
                <w:lang w:val="zh-CN"/>
                <w:rFonts w:ascii="Times New Roman" w:hAnsi="Times New Roman" w:cs="Times New Roman"/>
                <w:sz w:val="20"/>
                <w:szCs w:val="20"/>
                <w:color w:val="000000"/>
              </w:rPr>
              <w:t>贵阳中国旅行社有限责任公司</w:t>
            </w:r>
          </w:p>
        </w:tc>
        <w:tc>
          <w:tcPr>
            <w:tcW w:w="2310" w:type="dxa"/>
            <w:gridSpan w:val="3"/>
          </w:tcPr>
          <w:p>
            <w:pPr/>
            <w:r>
              <w:rPr>
                <w:lang w:val="zh-CN"/>
                <w:rFonts w:ascii="Times New Roman" w:hAnsi="Times New Roman" w:cs="Times New Roman"/>
                <w:sz w:val="20"/>
                <w:szCs w:val="20"/>
                <w:color w:val="000000"/>
              </w:rPr>
              <w:t>2402002609004606307</w:t>
            </w:r>
          </w:p>
        </w:tc>
      </w:tr>
      <w:tr>
        <w:tc>
          <w:tcPr>
            <w:tcW w:w="2310" w:type="dxa"/>
            <w:gridSpan w:val="3"/>
          </w:tcPr>
          <w:p>
            <w:pPr/>
            <w:r>
              <w:rPr>
                <w:lang w:val="zh-CN"/>
                <w:rFonts w:ascii="Times New Roman" w:hAnsi="Times New Roman" w:cs="Times New Roman"/>
                <w:sz w:val="20"/>
                <w:szCs w:val="20"/>
                <w:color w:val="000000"/>
              </w:rPr>
              <w:t>微信收支</w:t>
            </w:r>
          </w:p>
        </w:tc>
        <w:tc>
          <w:tcPr>
            <w:tcW w:w="2310" w:type="dxa"/>
            <w:gridSpan w:val="2"/>
          </w:tcPr>
          <w:p>
            <w:pPr/>
            <w:r>
              <w:rPr>
                <w:lang w:val="zh-CN"/>
                <w:rFonts w:ascii="Times New Roman" w:hAnsi="Times New Roman" w:cs="Times New Roman"/>
                <w:sz w:val="20"/>
                <w:szCs w:val="20"/>
                <w:color w:val="000000"/>
              </w:rPr>
              <w:t>赵德文</w:t>
            </w:r>
          </w:p>
        </w:tc>
        <w:tc>
          <w:tcPr>
            <w:tcW w:w="2310" w:type="dxa"/>
            <w:gridSpan w:val="3"/>
          </w:tcPr>
          <w:p>
            <w:pPr/>
            <w:r>
              <w:rPr>
                <w:lang w:val="zh-CN"/>
                <w:rFonts w:ascii="Times New Roman" w:hAnsi="Times New Roman" w:cs="Times New Roman"/>
                <w:sz w:val="20"/>
                <w:szCs w:val="20"/>
                <w:color w:val="000000"/>
              </w:rPr>
              <w:t>微信号：17716675333</w:t>
            </w:r>
          </w:p>
        </w:tc>
      </w:tr>
      <w:tr>
        <w:tc>
          <w:tcPr>
            <w:tcW w:w="2310" w:type="dxa"/>
            <w:gridSpan w:val="3"/>
          </w:tcPr>
          <w:p>
            <w:pPr/>
            <w:r>
              <w:rPr>
                <w:lang w:val="zh-CN"/>
                <w:rFonts w:ascii="Times New Roman" w:hAnsi="Times New Roman" w:cs="Times New Roman"/>
                <w:sz w:val="20"/>
                <w:szCs w:val="20"/>
                <w:color w:val="000000"/>
              </w:rPr>
              <w:t>贵州银行</w:t>
            </w:r>
          </w:p>
        </w:tc>
        <w:tc>
          <w:tcPr>
            <w:tcW w:w="2310" w:type="dxa"/>
            <w:gridSpan w:val="2"/>
          </w:tcPr>
          <w:p>
            <w:pPr/>
            <w:r>
              <w:rPr>
                <w:lang w:val="zh-CN"/>
                <w:rFonts w:ascii="Times New Roman" w:hAnsi="Times New Roman" w:cs="Times New Roman"/>
                <w:sz w:val="20"/>
                <w:szCs w:val="20"/>
                <w:color w:val="000000"/>
              </w:rPr>
              <w:t>扫总部二维码收款</w:t>
            </w:r>
          </w:p>
        </w:tc>
        <w:tc>
          <w:tcPr>
            <w:tcW w:w="2310" w:type="dxa"/>
            <w:gridSpan w:val="3"/>
          </w:tcPr>
          <w:p>
            <w:pPr/>
            <w:r>
              <w:rPr>
                <w:lang w:val="zh-CN"/>
                <w:rFonts w:ascii="Times New Roman" w:hAnsi="Times New Roman" w:cs="Times New Roman"/>
                <w:sz w:val="20"/>
                <w:szCs w:val="20"/>
                <w:color w:val="000000"/>
              </w:rPr>
              <w:t>市中旅总部</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贵阳-惠州-酒店</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尊敬的贵宾，欢迎参加粤港澳大湾区旅游行程，贵宾按照预定的航班时间，请至少以前2小时前抵达机场候机，抵达后车接客人都惠州入住酒店，后自由活动。参考航班时间：吉祥航空HO1902  19:00-21:00注：客人到达当天我社工作人员会逐一跟游客联系，以最新通知为准，请保持手机畅通，出发时请务必检查携带好有效《居民身份证》和《往来港澳通行证》。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早餐：不含；午餐：不含；晚餐：不含；住宿：巽寮湾酒店</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墨子石公园-沙滩沐浴阳光-出海打捞-礁石景区-大梅沙海滨公园-深圳人才公园</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巽寮湾【磨子石公园】（非下海游泳区域，请注意安全），作为巽寮湾十八景的磨子石是巽寮浅海石林景观的典型代表。据说每逢风云变幻时节，巨磨飞转，呼呼作响，周围各种各样形态奇特的石群吸引了国内外数以百万计的游客前来观光旅游，感受“风涛摧磨 ”的鬼斧神工之妙。【沙滩漫步】夕阳西下，余晖洒在沙滩上，仿佛铺上一层金色绒毯。我漫步其间，海风轻拂，带着海水的咸涩与温柔，撩动发丝。脚下细沙绵软，似亲密伙伴，每一步都留下深深印记，却又瞬间被海风抚平。海浪一波波涌来，轻吻脚背，带来丝丝凉意。极目远眺，海天相接处，橙红色晚霞如梦幻画卷，变幻无穷。远处白帆点点，随波摇曳。沙滩漫步，我与自然相拥，沉醉在这美妙时光里。前往码头乘坐渔船【出海捕鱼观光】（约40分钟，如天气原因无法安排的，更换为参观天后宫），体验渔民生活，感受海上悠闲风光。后到双月湾游览【日出情人湾风景区】（不含门票60元/人，敬请自理），乘坐华南首座【斜行观光梯】，方便游客登高望远，欣赏整个景区及周边海域的美景；这里有【360°观景台】螺旋拾级而上的观景台可提供全方位的观景视角，站在观景台远眺蔚蓝的大海和海水与礁石撞击产生洁白的浪花，让游客尽情饱览山海风光流连忘返；【海岸栈道】建在悬崖及浪花之上，游客可以漫步其中，近距离感受大海的气息和海浪的冲击；可以在这里欣赏美丽的海景。之后前往-【中国第一特区-深圳】。抵达深圳后，参观游览深圳东部大鹏湾畔的【大梅沙海滨公园】（游览时间约40分钟），这里拥有广阔的沙滩，沙质细腻，海水湛蓝清澈，是享受阳光沙滩、尽情畅玩海水的绝佳之地。设有多种水上娱乐项目，让游客体验刺激与欢乐。公园配套完善，周边餐饮、住宿便利。同时，它也是观赏海上日出日落的好地方，绚丽景色令人陶醉。每到节假日，便吸引着众多游客前来，感受滨海度假的惬意氛围；之后游览【深圳人才公园】（游览时间约40分钟）深圳人才公园位于深圳市南山区，是全国首个以“人才”命名的主题公园。公园依海而建，风景绝美。园内有众多特色景观，如人才功勋墙，展示各界杰出人才风采；人才雕塑园，矗立着各类寓意深刻的人才主题雕塑。这里还设有丰富的休闲区域，供市民放松休憩。它不仅是休闲好去处，更是宣扬人才理念的重要场所，通过各类展示与活动，凸显对人才的尊重与重视，吸引着众多游客前来感受独特的人才文化氛围。随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早餐：含；午餐：团餐；晚餐：团餐；住宿：深圳酒店</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莲塘口岸-入境香港-黄大仙-香港历史博物馆-星光大道-金紫荆广场-外观天际100-太平山-浅水湾泳滩-天星小轮游维港</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在专业人员带领下经【莲塘口岸】出关，搭乘旅游巴士前往香港，后于【黄大仙】（40分钟）烧香祈福：祝福亲人、朋友，还有您心爱的人平安、幸福！游览香港【香港历史博物馆】（约30分钟，注：该馆逢周二闭馆，不能参观），香港历史博物馆于1975年创立。该馆展出中国香港的出土文物、历史图片、图画和地图等，并定时举办文化活动和展出一些有关香港历史或各国珍贵的历史文物是了解香港历史文化的最佳场地。后前往【星光大道】（约30分钟），它是位于尖沙咀维多利亚港岸边的一段观景海滨长廊，它效仿洛杉矶好莱坞的星光大道而建，用以纪念香港电影业的发展史。将杰出电影工作者的芳名与手掌印镶嵌在特制的纪念牌上，并以年代依次排列展示，让访客了解香港的发展及风土人情。外观【天际100香港最高楼】天际100位于全港最高建筑物环球贸易广场（ICC）。尖沙咀是九龙的明珠，白天弥敦道两旁的美食餐厅、国际精品店里游客如织，游游毕前往餐厅用午餐，午餐后，前往【香港免税商场/免税药铺】选购自己所需物品，接着赴港岛参观香港【会展中心新翼和金紫荆广场】（约20分钟），这里为香港回归祖国的见证，团友可于“永远盛开的紫荆花”及回归的纪念碑旁拍照留念。前往【浅水湾泳滩】（30分钟）是香港最具代表性的美丽海湾，这里遍布豪华住宅，其中包括香港巨商李嘉诚、包玉刚的豪华私宅。这些依山傍水的建筑，构成了浅水湾独特风景，令人流连忘返。【太平山】（15分钟）太平山顶是是鸟瞰壮丽海港、绚丽市景的理想地。后坐天星小轮游维多利亚湾【天星小轮-游维多利亚港】（赠送项目约10分钟：遇特殊因素不能乘坐的概不退款，敬请谅解！备注:如需升级洋紫荆豪华游船视当天船位情况自愿选择，增加费用自理），游毕乘车返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早餐：打包早；午餐：团餐；晚餐：团餐；住宿：香港酒店</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香港人工岛-港珠澳大桥-妈祖庙-澳门大三巴牌坊-威尼斯人赌城-金莲花广场-银河钻石-手信综合商场-珠海</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由领队带领到【香港人工岛】乘【金巴车】（费用自理，60元/人）游号称世界第八大奇迹的【港珠澳大桥】，澳门当地导游在【澳门人工岛】接团后乘车前往参观澳门景点【妈祖庙】（约15分钟）澳门妈祖庙又称妈阁庙，坐落在澳门半岛的西南端。它是澳门最古老的庙宇，供奉着海上女神妈祖。庙宇建筑古色古香，富有传统中式风格。这里常年香火旺盛，游客与信徒络绎不绝，见证着澳门的历史变迁与海洋文化传承。【大三巴牌坊】（约15分钟）澳门大三巴牌坊，是澳门的标志性建筑之一。它原为圣保禄大教堂的前壁，融合了欧洲文艺复兴时期与东方建筑的风格特色。大三巴牌坊雕刻精细，巍峨壮观，其层层叠叠的浮雕诉说着历史的沧桑与辉煌。历经岁月洗礼和多次修缮，它见证了澳门的历史变迁与中西方文化的交融。如今，这里是游客必到的打卡胜地，人们在此感受澳门的独特魅力，缅怀往昔，展望未来，它也成为了澳门历史文化的不朽象征和连接世界的重要文化纽带。【大炮台】（约15分钟）又名圣保禄炮台、中央炮台或大三巴炮台，位于澳门市区中央，邻近大三巴牌坊。它是中国现存最古老的西式炮台之一，也是澳门众多炮台中规模最大、最古老的炮台。车观澳门地标【新老葡京酒店】【巴黎人铁塔】【九九回归场金莲花广场】；之后逛澳门【手信综合百货商场】（约60分钟）随意选购有名的特色小吃或者生活用品带回送给家人亲戚朋友等，之后参观银河酒店【钻石秀】（约30分钟），在大堂的正中央舞台，随着音乐及声光效果的呈现，高达3公尺的的闪亮超大钻石水晶灯饰，在水幕中央旋转，带给旅客财来运转的好兆头！后前往以美国拉斯维加斯威尼斯创意为主题的【威尼斯人度假城】（约1.5小时）酒店内充满威尼斯特色拱桥、运河及石板路，这里有着世界最壮观的室内白天蓝天白云，夜间繁星密布，一切都充满威尼斯人浪漫狂放的异国风情；之后乘车经过【拱北口岸或珠海人工岛】返回珠海享用晚餐后入住酒店休息。（为丰富您的澳门之行可自费选择前往参观发财树+新葡京参观或其他表演130-160元/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早餐：打包早；午餐：团餐；晚餐：团餐；住宿：珠海酒店</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珠海香炉湾沙滩-渔女像-日月贝歌剧院-4A景区罗西尼-圆明新园-中山故居-花城广场-广州塔-海心沙-惠州酒店</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珠海的徽标——【渔女像】、漫步浪漫珠海的【情侣路】、【香炉湾沙滩】宽约90米的金色细沙沙滩一直绵延1.5公里，尉为壮观，让人‘惊艳’。走在沙滩上吹吹海风，看看海，感觉也是心旷神怡，神清气爽。后游览珠海新地标——【日月贝歌剧院】（约30分钟）中国唯一建设在海岛上的歌剧院，由一大一小两组“贝壳”组成，构成了歌剧院的整体形象，因此又称为“日月贝”，后前往珠海【圆明新园】（60分钟）以北京圆明园为原稿，按1：1比例精选圆明园四十景中的十八景修建而成，投资6亿元人民币，它融古典皇家建筑群、江南古典园林建之幻境，将一座座仙山琼阁散落于福海周围，按“徐福海中求”之寓意，把东湖命名为福海。它是当年皇帝及后妃们游湖、观龙舟、观烟火的好去处。参观【罗西尼博物馆】（60分钟）博物馆分为四大主题展馆：科普馆、典藏馆、冠城精品馆、钟表文化馆。其中，科普馆分为古代计时仪器展览区、近代中国四大流派钟表展览区、观赏西洋钟展区、微型钟表展区、国内外腕表展示区、钟表科普展览区、多媒体互动体验区，典藏馆设有各类艺术钟表专题展览。后到中山市参观【中山故居】（60分钟）孙中山故居纪念馆位于广东省中山市翠亨村，成立于1956年，管理范围20万平方米，现为国家一级博物馆、国家AAAAA级旅游景区核心景区。随后前往游览“新中轴线【花城广场】（游约1小时），感受广州城市“大变”新成就。在广场上可外观到广东省博物馆、广州歌剧院，外观广州新电视塔"小蛮腰"--又名【广州塔】（不登塔）又称广州新电视塔，昵称小蛮腰。位于广州市海珠区（艺洲岛）赤岗塔附近，距离珠江南岸125米，与珠江新城、花城广场、海心沙岛隔江相望。广州塔塔身主体高454米，天线桅杆高146米，总高度600米。是中国第一高塔，世界第二高塔，仅次于东京晴空塔。游览亚运会开闭幕式场地【海心沙】，在此能看到场内的部分设施，如帆屏、威亚等都会作为广州亚运会的遗产予以保留。之后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早餐：早；午餐：团餐；晚餐：团餐；住宿：惠州酒店</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惠州-贵州 ，返回温馨的家</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早餐后，送往机场乘飞机返回贵阳；结束愉快的粤港澳大湾区之旅。参考航班：吉祥航空HO1901 10:15-12:05</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早餐：早；午餐：不含；晚餐：不含；住宿：无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报价已含】1、交通：贵阳-惠州往返经济舱机票，当地全程旅游用车（动车票不指定车次，当地用车按人数定车型，保证一人一正座）；2、餐食：含5早8正餐（早餐部分为打包早，餐不用不退）；3、住宿：行程精选商务酒店住宿，升级入住一晚香港三星酒店和巽寮湾一晚近海度假酒店，全程保证一人一床位，若是团上遇单男或者单女需配合拼房，不能接受拼房者需补单房差；4、门票：行程内标明景点的第一道门票；不含【日出情人湾风景区】门票60元/人，港珠澳大桥金巴费用60元/人5、导游：出发地工作人员（领队）陪同服务，当地导游讲解服务；6、年龄：行程价格为25周岁以上报价，25周岁以下价格另议；7、保险：旅行社责任险。</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香港升级豪华游船130元/人澳门发财树+新葡京参观或其他表演100元/人</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建议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70周岁以上客人建议自行购买境外救援险；客人报名时需提供身份证准确信息和联系电话，必需自备前往港澳有效证件《往来港澳通行证》，检查确保有香港和澳门的签注并在有效期（使用过的需要重新签注，一个月内去过澳门的请勿报名）；通行证签注类别是团队（L）或是个人旅游（G），不影响团队出行。如因个人原因导致无法正常出行或者不能进入香港澳门，产生的费用自行承担，旅行社将收取继续收取相应的费用，敬请谅解；请游客认真填写意见书，一切以客人填写的意见书，作为处理投诉及反馈的依据；此线路不接受孕妇、患有传染病等可能危害其他旅游者健康和安全的客人及78岁以上游客的报名，如有隐瞒自身健康状况而产生意外或导致其他损失，概由游客承担，旅行社不承担责任；另外65岁以上老人家、18岁以下未成年人、残障人士、外籍人士等特殊人群单独参团，此类人群需有亲戚朋友、监护人、中文翻译陪同方可参加；65岁以上人士和特殊人群参团需要签署“健康声明书”。【安全须知】请贵宾确认自身健康状况适合此次行程。在临行前应考虑自身身体状况，必要时旅行前征得医生同意，方可启程。游客从事潜水、漂流、骑马、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抵达景区后，请谨记集合地点、时间、所乘游览的巴士车牌号。听取当地导游有关安全提示和忠告，应预防意外事故和突发性疾病的发生。在景区参观游览时，请听从导游的安排，不要擅自离队，如果迷失方向，原则上应原地等候导游的到来或者打电话求救、求助，千万不要着急。【特别提示】1．天星小邮轮为赠送项目，如因天气等不可抗力因素或客人自身原因不能游览，概不退款，敬请谅解！2．节假日期间行程中如有景点被政府征用或管制则取消，费用不退，望周知。3．由于旺季口岸过关的人流比较多，会导致我们团队过关比较慢，过关时间比较长，敬请客人积极配合，并耐心等待。4．如因客人个人原因迟到须游客自行前往香港追团，追团产生的车费须游客自理。如因迟到要改期或游客临时取消、证件签注等问题无法正常出行等情况须收取已产生的费用。5．请随身携带并保管好自己的港澳通行证，以备当地警察随时查验，如有遗失，请速报警。6．香港多数酒店不提供一次性洗漱用品，请客人自带备用，敬请配合！7．香港通用货币为港币；大型商场/超市均可刷内地银联卡消费。8．遵守交通法则：因港澳地区汽车靠马路左侧行驶，过马路时，请先看右再看左，遵守信号灯，走人行横道。9．根据中国海关总署颁布的2010年54号令，入境公民旅客携带在境外获取的个人自用物品总值在港币5000元以内（含5000元）的，海关予以免税放行。烟草制品、酒精制品、照相机、摄像机等20种商品不在免税范围内，敬请知晓。10．寻求紧急救援：遇有紧急事件，包括遗失、遇贼、意外、受伤、急症、火警等等，均可拨打999电话救援，香港的公共电话均可免费拨通此号码。另外，也可向在街上的巡警或到警局报案。【免责情况】?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自由活动时间，请听从导游安排的准确集合时间及地点！如因客人自行参加非旅行社组织的活动，出现任何意外受伤情况，责任由客人个人承担，旅行社不承担责任；?意外情况发生时，旅行社已经采取措施尽量避免扩大损失，但游客不予配合而产生的费用，旅行社不予承担；?按照国家旅游局的规定，旅游者在境内、外不准许参与色情场所或者赌博场所等的活动以及其他法律所不允许情况的活动，如有前往者，须负责自己的行为后果，本公司已作说明，对此不承担任何责任。?跟团期间，个人不能私自脱团或离团，有需要脱团或者离团者，需要与相关领队或者导游人员签署离团协议或脱团协议；私自离团或脱团产生的人身财产安全自行承担，与旅行社无关。【澳门段特别注意事项】1、穿拖鞋短裤、衣冠不整及未满21周岁者均会被禁止进入娱乐城或者酒店！2、报名港澳联游线路请确保有效的澳门签注，因无签注或签注过期等证件原因导致无法入澳，未游览团费概不退换。附件：补充协议经旅游者与旅行社双方充分协商，就本次旅游行程外的的购物场所达成一致，旅游者自愿签署本补充协议。1.行程外的购物或参加当地的自费活动，由旅游者根据自身需要和个人意志，自愿、自主决定，旅行社全程不予以负责；2.如遇不可抗力（天气、罢工、政府行为等）或其他旅行社已尽合理义务仍不能避免的事件（公共交通延误或取消、交通堵塞、重大礼宾等），为保证景点正常游览，旅行社可能根据实际需要减少本补充说明约定的购物场所，敬请游客谅解。3.客人可能来自不同地域‘参加不同线路、且中途可能会更换导游，但不影响正常浏览顺序。4.因游客自身原因（如疾病、怀孕、携带违禁品、证件有误、护照抽查等等）造成的行程延误，需自理费用追赶团队。5.未成年人必须有成年人家属或监护人陪同参加，否则不予接待，敬请谅解！6.香港澳门为全球免税港，购物天堂，为丰富旅游的六大要素：吃、住、行、游、购、娱的完整性，行程中免税商场、手信商场、景中店等不算做购物店，请知晓。【旅游需知】一、健康及药品：旅游大巴酒店空调温度较低，建议可携带保暖衣物，可携带准备一些常用药品，如感冒药、晕车药等等，以防万一。二、安全事宜：一切贵重物品（包括通行证，身份证，相机等等）必须随身携身带，不可放车上或酒店内，以防不测，如果有遗失，本公司概不承担赔偿责任！我已阅读并充分理解以上所有内容，并愿意在友好、平等、自愿的情况下确认：旅行社已就上述购物及自费的相关风险对我进行了全面的告知、提醒。我经慎重考虑后，如自愿前往行程外的购物场所购买商品或参加自费活动，与旅行社任何关系，我将自行承担相关的损失，我同意双方签署以上的旅游合同。旅游者确认签字：签字日期：</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张姐，杨绍洪</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丁万元</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2025/9/4 10:15:12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