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重庆一品天下旅行社有限公司团队/散客确认件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渠县友联</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1</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重庆一品天下旅行社有限公司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销售部-秦添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华东-散拼-20260417A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华东-散拼-全国散（芜湖往返）</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7(7大)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2026-04-17 CZ2033 重庆→芜湖 09:00-11:10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2026-04-22 CZ2034 芜湖→重庆 11:55-14:0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1、赵长宏</w:t>
            </w:r>
          </w:p>
        </w:tc>
        <w:tc>
          <w:tcPr>
            <w:tcW w:w="2310" w:type="dxa"/>
            <w:vAlign w:val="center"/>
            <w:gridSpan w:val="2"/>
          </w:tcPr>
          <w:p>
            <w:pPr/>
            <w:r>
              <w:rPr>
                <w:lang w:val="zh-CN"/>
                <w:rFonts w:ascii="Times New Roman" w:hAnsi="Times New Roman" w:cs="Times New Roman"/>
                <w:sz w:val="20"/>
                <w:szCs w:val="20"/>
                <w:color w:val="000000"/>
              </w:rPr>
              <w:t>513030198002100097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2、赵婧妤</w:t>
            </w:r>
          </w:p>
        </w:tc>
        <w:tc>
          <w:tcPr>
            <w:tcW w:w="2310" w:type="dxa"/>
            <w:vAlign w:val="center"/>
            <w:gridSpan w:val="2"/>
          </w:tcPr>
          <w:p>
            <w:pPr/>
            <w:r>
              <w:rPr>
                <w:lang w:val="zh-CN"/>
                <w:rFonts w:ascii="Times New Roman" w:hAnsi="Times New Roman" w:cs="Times New Roman"/>
                <w:sz w:val="20"/>
                <w:szCs w:val="20"/>
                <w:color w:val="000000"/>
              </w:rPr>
              <w:t>511725201212309104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3、简秀</w:t>
            </w:r>
          </w:p>
        </w:tc>
        <w:tc>
          <w:tcPr>
            <w:tcW w:w="2310" w:type="dxa"/>
            <w:vAlign w:val="center"/>
            <w:gridSpan w:val="2"/>
          </w:tcPr>
          <w:p>
            <w:pPr/>
            <w:r>
              <w:rPr>
                <w:lang w:val="zh-CN"/>
                <w:rFonts w:ascii="Times New Roman" w:hAnsi="Times New Roman" w:cs="Times New Roman"/>
                <w:sz w:val="20"/>
                <w:szCs w:val="20"/>
                <w:color w:val="000000"/>
              </w:rPr>
              <w:t>513030196307105164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4、陈爱华</w:t>
            </w:r>
          </w:p>
        </w:tc>
        <w:tc>
          <w:tcPr>
            <w:tcW w:w="2310" w:type="dxa"/>
            <w:vAlign w:val="center"/>
            <w:gridSpan w:val="2"/>
          </w:tcPr>
          <w:p>
            <w:pPr/>
            <w:r>
              <w:rPr>
                <w:lang w:val="zh-CN"/>
                <w:rFonts w:ascii="Times New Roman" w:hAnsi="Times New Roman" w:cs="Times New Roman"/>
                <w:sz w:val="20"/>
                <w:szCs w:val="20"/>
                <w:color w:val="000000"/>
              </w:rPr>
              <w:t>51303019850701512X</w:t>
            </w:r>
          </w:p>
        </w:tc>
        <w:tc>
          <w:tcPr>
            <w:tcW w:w="2310" w:type="dxa"/>
            <w:vAlign w:val="center"/>
          </w:tcPr>
          <w:p>
            <w:pPr/>
            <w:r>
              <w:rPr>
                <w:lang w:val="zh-CN"/>
                <w:rFonts w:ascii="Times New Roman" w:hAnsi="Times New Roman" w:cs="Times New Roman"/>
                <w:sz w:val="20"/>
                <w:szCs w:val="20"/>
                <w:color w:val="000000"/>
              </w:rPr>
              <w:t>13982880183</w:t>
            </w:r>
          </w:p>
        </w:tc>
      </w:tr>
      <w:tr>
        <w:tc>
          <w:tcPr>
            <w:tcW w:w="2310" w:type="dxa"/>
            <w:vAlign w:val="center"/>
          </w:tcPr>
          <w:p>
            <w:pPr/>
            <w:r>
              <w:rPr>
                <w:lang w:val="zh-CN"/>
                <w:rFonts w:ascii="Times New Roman" w:hAnsi="Times New Roman" w:cs="Times New Roman"/>
                <w:sz w:val="20"/>
                <w:szCs w:val="20"/>
                <w:color w:val="000000"/>
              </w:rPr>
              <w:t>5、刘国庆</w:t>
            </w:r>
          </w:p>
        </w:tc>
        <w:tc>
          <w:tcPr>
            <w:tcW w:w="2310" w:type="dxa"/>
            <w:vAlign w:val="center"/>
            <w:gridSpan w:val="2"/>
          </w:tcPr>
          <w:p>
            <w:pPr/>
            <w:r>
              <w:rPr>
                <w:lang w:val="zh-CN"/>
                <w:rFonts w:ascii="Times New Roman" w:hAnsi="Times New Roman" w:cs="Times New Roman"/>
                <w:sz w:val="20"/>
                <w:szCs w:val="20"/>
                <w:color w:val="000000"/>
              </w:rPr>
              <w:t>513029199010014286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6、杨小军</w:t>
            </w:r>
          </w:p>
        </w:tc>
        <w:tc>
          <w:tcPr>
            <w:tcW w:w="2310" w:type="dxa"/>
            <w:vAlign w:val="center"/>
            <w:gridSpan w:val="2"/>
          </w:tcPr>
          <w:p>
            <w:pPr/>
            <w:r>
              <w:rPr>
                <w:lang w:val="zh-CN"/>
                <w:rFonts w:ascii="Times New Roman" w:hAnsi="Times New Roman" w:cs="Times New Roman"/>
                <w:sz w:val="20"/>
                <w:szCs w:val="20"/>
                <w:color w:val="000000"/>
              </w:rPr>
              <w:t>513030197711098431</w:t>
            </w:r>
          </w:p>
        </w:tc>
        <w:tc>
          <w:tcPr>
            <w:tcW w:w="2310" w:type="dxa"/>
            <w:vAlign w:val="center"/>
          </w:tcPr>
          <w:p>
            <w:pPr/>
            <w:r>
              <w:rPr>
                <w:lang w:val="zh-CN"/>
                <w:rFonts w:ascii="Times New Roman" w:hAnsi="Times New Roman" w:cs="Times New Roman"/>
                <w:sz w:val="20"/>
                <w:szCs w:val="20"/>
                <w:color w:val="000000"/>
              </w:rPr>
              <w:t>13547884168</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7</w:t>
            </w:r>
          </w:p>
        </w:tc>
        <w:tc>
          <w:tcPr>
            <w:tcW w:w="2310" w:type="dxa"/>
          </w:tcPr>
          <w:p>
            <w:pPr/>
            <w:r>
              <w:rPr>
                <w:lang w:val="zh-CN"/>
                <w:rFonts w:ascii="Times New Roman" w:hAnsi="Times New Roman" w:cs="Times New Roman"/>
                <w:sz w:val="20"/>
                <w:szCs w:val="20"/>
                <w:color w:val="000000"/>
              </w:rPr>
              <w:t>2499.00</w:t>
            </w:r>
          </w:p>
        </w:tc>
        <w:tc>
          <w:tcPr>
            <w:tcW w:w="2310" w:type="dxa"/>
          </w:tcPr>
          <w:p>
            <w:pPr/>
            <w:r>
              <w:rPr>
                <w:lang w:val="zh-CN"/>
                <w:rFonts w:ascii="Times New Roman" w:hAnsi="Times New Roman" w:cs="Times New Roman"/>
                <w:sz w:val="20"/>
                <w:szCs w:val="20"/>
                <w:color w:val="000000"/>
              </w:rPr>
              <w:t>17493.00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总金额：壹万柒仟肆佰玖拾叁元整</w:t>
            </w:r>
          </w:p>
        </w:tc>
        <w:tc>
          <w:tcPr>
            <w:tcW w:w="2310" w:type="dxa"/>
            <w:textDirection w:val="right"/>
            <w:gridSpan w:val="3"/>
          </w:tcPr>
          <w:p>
            <w:pPr/>
            <w:r>
              <w:rPr>
                <w:lang w:val="zh-CN"/>
                <w:rFonts w:ascii="Times New Roman" w:hAnsi="Times New Roman" w:cs="Times New Roman"/>
                <w:b/>
                <w:color w:val="FF0000"/>
              </w:rPr>
              <w:t>17493.00</w:t>
            </w:r>
          </w:p>
        </w:tc>
      </w:tr>
      <w:tr>
        <w:tc>
          <w:tcPr>
            <w:tcW w:w="2310" w:type="dxa"/>
            <w:gridSpan w:val="8"/>
          </w:tcPr>
          <w:p>
            <w:pPr/>
            <w:r>
              <w:rPr>
                <w:lang w:val="zh-CN"/>
                <w:rFonts w:ascii="Times New Roman" w:hAnsi="Times New Roman" w:cs="Times New Roman"/>
                <w:sz w:val="20"/>
                <w:szCs w:val="20"/>
                <w:color w:val="000000"/>
              </w:rPr>
              <w:t>添添 全含江南 提前含自费  全程安排2个大床房1三人间/家庭房</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代金券：000262</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w:t>
            </w:r>
          </w:p>
        </w:tc>
        <w:tc>
          <w:tcPr>
            <w:tcW w:w="2310" w:type="dxa"/>
            <w:gridSpan w:val="2"/>
          </w:tcPr>
          <w:p>
            <w:pPr/>
            <w:r>
              <w:rPr>
                <w:lang w:val="zh-CN"/>
                <w:rFonts w:ascii="Times New Roman" w:hAnsi="Times New Roman" w:cs="Times New Roman"/>
                <w:sz w:val="20"/>
                <w:szCs w:val="20"/>
                <w:color w:val="000000"/>
              </w:rPr>
              <w:t>重庆一品天下旅行社有限公司</w:t>
            </w:r>
          </w:p>
        </w:tc>
        <w:tc>
          <w:tcPr>
            <w:tcW w:w="2310" w:type="dxa"/>
            <w:gridSpan w:val="3"/>
          </w:tcPr>
          <w:p>
            <w:pPr/>
            <w:r>
              <w:rPr>
                <w:lang w:val="zh-CN"/>
                <w:rFonts w:ascii="Times New Roman" w:hAnsi="Times New Roman" w:cs="Times New Roman"/>
                <w:sz w:val="20"/>
                <w:szCs w:val="20"/>
                <w:color w:val="000000"/>
              </w:rPr>
              <w:t>650124342500015</w:t>
            </w:r>
          </w:p>
        </w:tc>
      </w:tr>
      <w:tr>
        <w:tc>
          <w:tcPr>
            <w:tcW w:w="2310" w:type="dxa"/>
            <w:gridSpan w:val="3"/>
          </w:tcPr>
          <w:p>
            <w:pPr/>
            <w:r>
              <w:rPr>
                <w:lang w:val="zh-CN"/>
                <w:rFonts w:ascii="Times New Roman" w:hAnsi="Times New Roman" w:cs="Times New Roman"/>
                <w:sz w:val="20"/>
                <w:szCs w:val="20"/>
                <w:color w:val="000000"/>
              </w:rPr>
              <w:t>农业银行</w:t>
            </w:r>
          </w:p>
        </w:tc>
        <w:tc>
          <w:tcPr>
            <w:tcW w:w="2310" w:type="dxa"/>
            <w:gridSpan w:val="2"/>
          </w:tcPr>
          <w:p>
            <w:pPr/>
            <w:r>
              <w:rPr>
                <w:lang w:val="zh-CN"/>
                <w:rFonts w:ascii="Times New Roman" w:hAnsi="Times New Roman" w:cs="Times New Roman"/>
                <w:sz w:val="20"/>
                <w:szCs w:val="20"/>
                <w:color w:val="000000"/>
              </w:rPr>
              <w:t>王强</w:t>
            </w:r>
          </w:p>
        </w:tc>
        <w:tc>
          <w:tcPr>
            <w:tcW w:w="2310" w:type="dxa"/>
            <w:gridSpan w:val="3"/>
          </w:tcPr>
          <w:p>
            <w:pPr/>
            <w:r>
              <w:rPr>
                <w:lang w:val="zh-CN"/>
                <w:rFonts w:ascii="Times New Roman" w:hAnsi="Times New Roman" w:cs="Times New Roman"/>
                <w:sz w:val="20"/>
                <w:szCs w:val="20"/>
                <w:color w:val="000000"/>
              </w:rPr>
              <w:t>6228480479264751070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重庆-芜湖/南京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重庆机场集合，前往芜湖/南京，抵达后，提供班车接站服务，抵达后入住酒店；客人出发的前一天，导游/接站师傅会通过短信/电话联系客人，请保持手机畅通；当日无活动安排。1、因散客拼团，每批游客的火车/航班抵达时间不同，抵达后需要等候，请提前同游客做好解释工作，等待时间不超过2小时；2、散客拼团，接站可能是司机，可能是导游，请客人配合导游安排；3、接送站为增值服务，不用不退；提住和延住不提供免费接送站服务，请自行前往；4、全天提供免费接站服务。5、收费专车服务您也可以选择专车接机/站服务，5座200元/趟，7座250元/趟。需要另外付费。参考酒店：参考酒店：格林豪泰、尚客优、贝壳等或同级当地商务连锁酒店网评2钻</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早餐：自理；午餐：自理；晚餐：自理；住宿：无锡</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无锡—苏州—周庄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游览【拈花湾禅意小镇】（游玩时间约90分钟）：位于山环水抱的太湖之滨，总体以“禅”为主题元素，连接了灵山文化景区整体的佛教文化与旅行度假双重命题，走进拈花湾，会发现在整体布局、假山水泉、亭台楼阁、一草一木都充满了宁静的禅意美学，给人带来自然的宁静和平和；活动体验：放下烦恼，抄一抄经书，佛经诗词，笔起笔落，享受这一刻的法喜安然，为自己增添福慧（赠送项目，不用不退）推荐打卡点(自由活动时可根据自身情况打卡):拈花塔：是标志性建筑，唐风木塔雄伟壮观，是必打卡之地。集合前往“中国园林之城”—苏州，“人间天堂”、“东方威尼斯”、“东方水城”。游览【木渎】木渎古镇是江南著名的风景名胜区，素有“吴中第一镇”“秀绝冠江南”之誉。是与苏州城同龄的汉族水乡文化古镇，已有2500多年历史。镇域总体空间结构是“三楔两片”。“三楔”包括穹窿山、天池村、五峰村等农村地区，七子山、砚台山、真山生态保育区，灵岩山、天平山、天池山、穹窿山风景区。“两片”指两大城镇集中建设片区，包括木渎镇区和藏书镇区。镇区形成“一心、两轴、六组团”的空间结构。游览【苏州古运河游船+听评弹+品茶歇】（游览时间不少于60分钟）乘船游在运河之上，细听“吴侬软语”苏州评弹，穿行苏城之间，摇曳灯光之中，真正江南水乡！之后游览“中国第一水乡”-【周庄】（温馨提示：由于周庄受古迹保护，周庄大桥禁止大巴车通过，需要换乘景区电瓶车或者摆渡船驶入，电瓶车20元/人或环镇水上游游船80元/人，敬请费用自理！）夜晚的周庄，是一场光与影show在一场光、水、影共舞的“蚬江渔唱”中，提灯走桥夜游周庄，就像是打开了夜周庄美丽画卷的序幕，也似开启了夜周庄千年的水乡时光，典型的江南水乡风貌，有独特的人文景观，是中国水乡文化和吴地汉文化的瑰宝。旅美画家陈逸飞的油画《故乡的回忆》中而闻名的明代建筑--双桥，明代江南首富沈万三故居。参考酒店：周庄花园酒店 周庄雅特周庄兴达周庄湖滨或周庄精品客栈等同级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早餐：含早；午餐：团餐；晚餐：自理；住宿：周庄外</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周庄—乌镇—杭州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集合前往“江南古镇中的佼佼者”—江南水乡乌镇，游览原汁原味的江南水乡—【乌镇.东栅】（游览时间90分钟）：古风犹存的东、西、南、北四条老街呈“十”字交叉，构成双棋盘式河街平行、水陆相邻的古镇格局。这里的民居宅屋傍河而筑，街道两旁保存有大量明清建筑，辅以河上石桥，体现了小桥、流水、古宅的江南古镇风韵。推荐打卡点(自由活动时可根据自身情况打卡):蓝印花布：布匹中穿梭，获取不同视角。经典水乡画境：站在桥上，可将小桥、流水、人家的景点画面收入镜中。流动的江南视角：感受“船在水中行，人在画中游”的意境。漫步【西湖】+【苏堤】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温馨提示】：1、西湖可以选择乘坐游船，费用不包含，60元/位，如需敬请自理！2、涉及周末、节假日、旅游旺季等，大巴车禁止进入，需要换乘接驳车，费用20/人自理，敬请谅解！游览江南第一石窟—【灵隐飞来峰】（（游览时间60分钟）），飞来峰是江南少见的古代石窟艺术瑰宝，可与四川大足石刻媲美。苏东坡曾有“溪山处处皆可庐，最爱灵隐飞来峰”的诗句；（需要提前7天网上预约，若预约不上则自动取消此景点，因景点免费，费用不退）体验活动：祈福求取钱袋子（自愿选择费用自理）景区内自由用餐，品杭州当地特色小吃小吃推荐：东坡肉、宋嫂鱼羹、蜜汁藕、叫花鸡、龙井虾仁、糖醋排骨、蛋黄子排、糖桂花、茶香鸡等...餐厅推荐：楼外楼、天外天、山外山、天香楼、状元馆、新榆园、知味观、奎元馆、皇饭儿、杭州酒家等...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温馨提示】：因自费项目包含司机车费、导游服务费，如需自行购票，需要补交100元/人相关费用，也可自行前往，请谅解！推荐打卡点(自由活动时可根据自身情况打卡):宋城骑楼街：是拍摄复古港风大片的绝佳拍摄点。1号剧院内：演出本身是最震撼的动态打卡。市景街：仿古主街，一进门就穿越感。沉浸式体验：抛绣球招婿，注意公告的固定场次。参考酒店：如家、鸿琳、朵莱、卡芭娅、栖港轻奢、东阁、尚鑫假日等或同级当地商务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早餐：含早；午餐：团餐；晚餐：自理；住宿：杭州</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杭州—上海(汽车)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龙坞茶园·换装旅拍+茶韵·龙井茶歇】（游览时间约1小时，提供茶巾、围裙、茶蒌换装，赠饮龙井一杯+龙井茶点品尝体验），四周群山环绕，茶园茶山连绵起伏，是西湖龙井茶保护基地区，素有“万担茶乡”之称，背上精致小巧的小背篓，换上采茶的传统服饰，漫步茶树间，或轻抚嫩芽，或回眸一笑，每一个瞬间都值得被定格。参观茶科技体验馆，深入了解茶文化、品味龙井茶。集合前往“东方巴黎”—上海，因有游客当天散团，大巴车可能途径杭州或上海的车站或机场自由品上海特色小吃小吃推荐：蟹黄壳、排骨年糕、生煎馒头、南翔小笼、素菜包、酒酿圆子、八宝饭、枣泥酥饼等...餐厅推荐：人和馆、付小姐、荣新馆、上海京云华、相爷府、豫上海、南翔馒头店、上海老饭店等...【游览：浦江游船+金茂大厦】，不可错过的上海夜景，感受魅力魔都。乘黄浦江游轮夜游黄浦江，欣赏浦江两岸的迷人夜色，登88层金贸大厦，从空中观赏外滩的夜景，每到夜幕降临，外滩的万国建筑就披上了靓丽的外衣，灯火辉煌，霓虹闪烁，让人不禁让人漾起似水流年般的怀旧之感。参考酒店：如家华驿智旅酒店、贝壳酒店、松驿酒店、锦江之星、莫泰酒店、速8酒店、途客轻居、艺选、万庭酒店、雲舒艺泊酒店、如家酒店·neo等或同级当地商务连锁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早餐：含早；午餐：团餐；晚餐：自理；住宿：上海</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上海—南京—芜湖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集合前往“六朝古都”—南京，旺季会提前出发，届时可能会安排打包早餐，敬请谅解！【秦淮河---夫子庙商业街】（游览时间约90分钟）自由活动。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推荐打卡点(自由活动时可根据自身情况打卡):1、东园桥:小众但很出片的机位，站在桥上，将茶馆的灯箱巧妙纳入构图2、得月台四楼:拍摄秦淮河的绝佳机位，可以拍到人和塔的合照，很壮美3、文德桥:夫子庙经典拍照位置，拍泮池、大照壁绝佳机位游览【中山陵景区】（游览时间约60分钟）中山陵包括博爱坊、墓道、陵门、碑亭、祭堂和墓室等建筑。陵墓入口广场有高大的花岗岩牌坊，上面是“博爱”两个金字。往北走过博爱坊，共有392级石阶，落差73米。沿墓道前行到达陵门，顶上是青色的琉璃瓦，门额上写着“天下为公”四个大字。【温馨提示】：1、钟山景交（中山陵景区）至25年10月起实行交通管制，工作日09：00-17：00，节假日、双休日08：30-17：30，这个时间段大巴车及机动车禁行，不能进景区，需乘景区接驳车前出中山陵，来回20元/人，敬请自理，车程约10分钟左右！2、因周一或每天17：00以后部分场所闭馆，如因周一或旺季堵车只能游览中山陵部分场所，因是免费景区，无费用可退，敬请谅解！参考酒店：如家华驿智旅酒店、贝壳酒店、松驿酒店、锦江之星、莫泰酒店、速8酒店、途客轻居、艺选、万庭酒店、雲舒艺泊酒店、如家酒店·neo等或同级当地商务连锁酒店网评2钻南京参考酒店：格林豪泰、尚客优、贝壳等或同级当地商务连锁酒店网评2钻。</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早餐：含早；午餐：自理；晚餐：团餐；住宿：南京/芜湖</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芜湖/南京-重庆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早餐后，根据航班时间前往南京机场送机，返回温馨的家。届时可能会安排打包早餐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早餐：含早；午餐：自理；晚餐：自理；住宿：无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门票：行程中景点首道门票以及备注所含的项目门票，不包含行程中未含的或其它个人消费。在保证不减少景点的前提下游览顺序以导游安排为准；特价线路无门票费用可退。儿童：1.2米以下小童：含当地车位、含半价正餐，不占床位、不含早餐、不含门票，超高自理。住宿：全程入住当地商务连锁酒店，全程不提供自然单间，单男单女需拼房或补房差，成人每晚一个床位，不指定酒店地理位置。用餐：5早4正，早餐为酒店随房赠送不用不退，正餐餐标30元/人.交通：重庆-芜湖/南京往返经济舱含税机票，团队票一经确认参团，无法退改签，敬请知晓（跟团期间的车费，按照实际参团人数安排交通车辆，具体以报名时选择为准），当地空调旅游车（5-65座，按实际人数安排，座位次序为随机分配，不分先后，确保1人1正座，自由活动期间不包含用车）。导游：专业地陪导游讲解服务（当地中文导游服务，接驳期间或自由活动期间不含导游服务）。</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报名须知：(1) 出行游客请携带好本人身份证或有效证件，儿童如没身份证需携带户口本原件；如因个人原因造成无法乘车、乘机、住宿、游览等手续，由旅游者自行承担，旅行社不承担由此造成的损失和责任。(2) 旅行社不接受未满18周岁、不具备完全民事行为能力的未成年人单独参团。18周岁以下未成年人及65周岁以上老年人需有家人陪同方可参团。个人有精神疾病和无行为控制能力的不能报名参团。(3) 报名时，应准确告知出行游客的姓名、身份证、手机，并保持手机畅通，同时组团社经办人也必须保持手机畅通，以便我社接送站或其他应急，如因游客手机关机，组团社联系不上，由此产生的后果自负，望谅解。 交通：(1) 合同一经签订且付全款，即为出票，若产生更改、签转、或退票，自行退改签，产生损失自负。(2) 往返交通运行时间及当地车辆行程时间，以当日实际所用时间为准,另外本社只包含接站和送站服务各一次，超出次数，客人自行承担；如遇天气等人力不可抗力因素影响，造成列车晚点或停运、航班延误或取消等，我社只负责协助处理，但不承担由此造成的损失和责任。住宿：(1) 按2人入住1间房核算，酒店不提供自然单间，如出现单男单女，尽量安排加床或与其他同性别团友拼房；如不愿拼房，或当天实际情况未能拼房，请补齐单房差以享用单人房间，另外加床一般为钢丝床。(2) 备注：上海酒店没有一次性洗漱用品，请自行准备！酒店内洗衣、理发、电话、传真、收费电视、饮品、烟酒等个人消费需要自理。 用餐：(3)早餐酒店含早（早餐为酒店随房赠送，不用不退）；正餐十人一桌，八菜一汤，不含酒水，人数不足10人时，数量相应减少。(4)华东地区餐饮风味、用餐条件与您的家乡有一定的差异，请大家应有心理准备。(5)行程中包含的餐以外的餐食，需要自理。团队游览：（1）请您仔细阅读本行程，根据自身条件选择适合自己的旅游线路。出游过程中，如因身体健康等自身原因需放弃部分行程，或游客要求放弃的，均视为自愿放弃，无费用退还，放弃期间的人身安全由旅游者自行负责。（2）游览期间，如因个人原因中途退团，由此造成项目未参加，费用一概不退；离团期间的安全问题由游客自理，并在离团前签订离团证明，如有问题，我社可协助解决，但不承担责任。（3）以上行程时间安排仅供参考，因各种不确定因素影响，我社有权在不减少游览景点的前提下，根据实际情况合理调整游览顺序。如遇天气等不可抗力因素导致无法正常游览，只负责退还本社的优惠门票，旅行社不承担由此造成的损失和责任，如产生超支费用由游客自理。（4）本线路价格为综合报价，持有任何优惠证件的游客均不再享受景区门票的优惠政策。如产生免票的，仅退还行程中所含景点的旅行社团队折扣价（赠送项目费用不退）；行程中自费景点如自带门票或使用优惠证件的需另外缴纳车位及导游服务费100元/点/人。出团通知：（1）出团通知最晚于出团前1天发送，若能提前确定，我们将会第一时间通知组团社或您。（2）参加我社散拼团报名时，我社暂不提供导游姓名及联系方式，敬请参团者保持手机通讯畅通。 意见反馈（1）接待质量以导游发放的游客（或代表）填写的意见单为准，请游客本着公平、公正的原则认真填写。如果游客不填视为放弃此项权利并按照无投诉处理。恕不受理游客虚填或不填意见书而产生的后续争议。（2）游客在旅游过程中有服务不满意的地方，敬请在当地提出，以便在现场核实、及时处理，否则视为满意。回程后再变相投诉不予受理！感谢理解！同时旅行社不接受与质量访问单相违背的投诉，谢谢！ （1）接待质量以导游发放的游客（或代表）填写的意见单为准，请游客本着公平、公正的原则认真填写。如果游客不填视为放弃此项权利并按照无投诉处理。恕不受理游客虚填或不填意见书而产生的后续争议。（2）游客在旅游过程中有服务不满意的地方，敬请在当地提出，以便在现场核实、及时处理，否则视为满意。回程后再变相投诉不予受理！感谢理解！同时旅行社不接受与质量访问单相违背的投诉，谢谢！  备注（1）65周岁以上老人参团，须与组团社签订身体健康免责证明；（2）出于安全考虑，80周岁以上老人本社不予接待。敬请谅解！（3）我社对本行程具有最终解释权。（4）因个人原因中途退团，视为自愿放弃后续服务，已缴费用不予退还，且需自行承担离团后的人身财产安全责任。</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1</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销售部-秦添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2026/4/11 17:24:35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